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702B" w14:textId="74CE91D6" w:rsidR="008B78A4" w:rsidRPr="00E87142" w:rsidRDefault="00F05F09" w:rsidP="008B78A4">
      <w:pPr>
        <w:keepNext/>
        <w:rPr>
          <w:b/>
          <w:bCs/>
          <w:lang w:val="en-GB"/>
        </w:rPr>
      </w:pPr>
      <w:r>
        <w:rPr>
          <w:b/>
          <w:bCs/>
          <w:lang w:val="en-GB"/>
        </w:rPr>
        <w:t xml:space="preserve">Appendix C </w:t>
      </w:r>
      <w:r w:rsidR="008B78A4" w:rsidRPr="00E87142">
        <w:rPr>
          <w:b/>
          <w:bCs/>
          <w:lang w:val="en-GB"/>
        </w:rPr>
        <w:t xml:space="preserve">-   Summary of included study characteristics </w:t>
      </w:r>
    </w:p>
    <w:tbl>
      <w:tblPr>
        <w:tblW w:w="4920" w:type="pct"/>
        <w:tblLayout w:type="fixed"/>
        <w:tblLook w:val="04A0" w:firstRow="1" w:lastRow="0" w:firstColumn="1" w:lastColumn="0" w:noHBand="0" w:noVBand="1"/>
      </w:tblPr>
      <w:tblGrid>
        <w:gridCol w:w="1446"/>
        <w:gridCol w:w="1004"/>
        <w:gridCol w:w="1580"/>
        <w:gridCol w:w="1867"/>
        <w:gridCol w:w="1150"/>
        <w:gridCol w:w="1574"/>
        <w:gridCol w:w="2647"/>
        <w:gridCol w:w="3071"/>
      </w:tblGrid>
      <w:tr w:rsidR="008B78A4" w:rsidRPr="00E87142" w14:paraId="138FA990" w14:textId="77777777" w:rsidTr="00610972">
        <w:trPr>
          <w:cantSplit/>
          <w:tblHeader/>
        </w:trPr>
        <w:tc>
          <w:tcPr>
            <w:tcW w:w="50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DF3EBF4" w14:textId="77777777" w:rsidR="008B78A4" w:rsidRPr="00E87142" w:rsidRDefault="008B78A4" w:rsidP="00610972">
            <w:pPr>
              <w:rPr>
                <w:b/>
                <w:bCs/>
                <w:sz w:val="20"/>
                <w:szCs w:val="20"/>
                <w:lang w:val="en-GB"/>
              </w:rPr>
            </w:pPr>
            <w:bookmarkStart w:id="0" w:name="OLE_LINK1"/>
            <w:r w:rsidRPr="00E87142">
              <w:rPr>
                <w:b/>
                <w:bCs/>
                <w:sz w:val="20"/>
                <w:szCs w:val="20"/>
                <w:lang w:val="en-GB"/>
              </w:rPr>
              <w:t xml:space="preserve">Author/Year </w:t>
            </w:r>
          </w:p>
        </w:tc>
        <w:tc>
          <w:tcPr>
            <w:tcW w:w="35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AFAA4F" w14:textId="77777777" w:rsidR="008B78A4" w:rsidRPr="00E87142" w:rsidRDefault="008B78A4" w:rsidP="0061097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7142">
              <w:rPr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51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257B28" w14:textId="77777777" w:rsidR="008B78A4" w:rsidRPr="00E87142" w:rsidRDefault="008B78A4" w:rsidP="0061097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E87142">
              <w:rPr>
                <w:b/>
                <w:bCs/>
                <w:sz w:val="20"/>
                <w:szCs w:val="20"/>
                <w:lang w:val="en-GB"/>
              </w:rPr>
              <w:t>Study Design</w:t>
            </w:r>
          </w:p>
        </w:tc>
        <w:tc>
          <w:tcPr>
            <w:tcW w:w="651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F27AEE" w14:textId="77777777" w:rsidR="008B78A4" w:rsidRPr="00E87142" w:rsidRDefault="008B78A4" w:rsidP="0061097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E87142">
              <w:rPr>
                <w:b/>
                <w:bCs/>
                <w:sz w:val="20"/>
                <w:szCs w:val="20"/>
                <w:lang w:val="en-GB"/>
              </w:rPr>
              <w:t>Conditions</w:t>
            </w:r>
          </w:p>
        </w:tc>
        <w:tc>
          <w:tcPr>
            <w:tcW w:w="401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62EEA8" w14:textId="77777777" w:rsidR="008B78A4" w:rsidRPr="00E87142" w:rsidRDefault="008B78A4" w:rsidP="0061097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7142">
              <w:rPr>
                <w:b/>
                <w:bCs/>
                <w:sz w:val="20"/>
                <w:szCs w:val="20"/>
                <w:lang w:val="en-GB"/>
              </w:rPr>
              <w:t xml:space="preserve">Overall Mean Age </w:t>
            </w:r>
          </w:p>
        </w:tc>
        <w:tc>
          <w:tcPr>
            <w:tcW w:w="549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6A4F9D" w14:textId="77777777" w:rsidR="008B78A4" w:rsidRPr="00E87142" w:rsidRDefault="008B78A4" w:rsidP="0061097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E87142">
              <w:rPr>
                <w:b/>
                <w:bCs/>
                <w:sz w:val="20"/>
                <w:szCs w:val="20"/>
                <w:lang w:val="en-GB"/>
              </w:rPr>
              <w:t>Type of Treatment</w:t>
            </w:r>
          </w:p>
        </w:tc>
        <w:tc>
          <w:tcPr>
            <w:tcW w:w="9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B7D16CB" w14:textId="77777777" w:rsidR="008B78A4" w:rsidRPr="00E87142" w:rsidRDefault="008B78A4" w:rsidP="00610972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E87142">
              <w:rPr>
                <w:b/>
                <w:bCs/>
                <w:sz w:val="20"/>
                <w:szCs w:val="20"/>
                <w:lang w:val="en-GB"/>
              </w:rPr>
              <w:t>Treatments</w:t>
            </w:r>
          </w:p>
        </w:tc>
        <w:tc>
          <w:tcPr>
            <w:tcW w:w="1071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8E06501" w14:textId="77777777" w:rsidR="008B78A4" w:rsidRPr="00E87142" w:rsidRDefault="008B78A4" w:rsidP="00610972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E87142">
              <w:rPr>
                <w:b/>
                <w:bCs/>
                <w:sz w:val="20"/>
                <w:szCs w:val="20"/>
                <w:lang w:val="en-GB"/>
              </w:rPr>
              <w:t>Outcome(s)</w:t>
            </w:r>
          </w:p>
        </w:tc>
      </w:tr>
      <w:tr w:rsidR="008B78A4" w:rsidRPr="00E87142" w14:paraId="5B274293" w14:textId="77777777" w:rsidTr="00610972">
        <w:trPr>
          <w:cantSplit/>
          <w:trHeight w:val="166"/>
        </w:trPr>
        <w:tc>
          <w:tcPr>
            <w:tcW w:w="504" w:type="pct"/>
            <w:tcBorders>
              <w:top w:val="single" w:sz="4" w:space="0" w:color="000000" w:themeColor="text1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968B6C2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Ain et al. 2006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137E1DC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USA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7E05CEF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prognostic study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55A1683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SED,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PAch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, SEMD,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Kniest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Morquio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C1E89B0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16.4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25) </w:t>
            </w:r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A950692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229DC84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Posterior arthrodesis for the treatment of cervical instability</w:t>
            </w: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2AFD86C0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If union occurred, the neurologic outcome and complications of the intervention. </w:t>
            </w:r>
          </w:p>
        </w:tc>
      </w:tr>
      <w:tr w:rsidR="008B78A4" w:rsidRPr="00E87142" w14:paraId="63EE8FCB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C31DE8B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Al </w:t>
            </w: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Kaissi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et al. 2018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0332581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Tunisia, Austria &amp; Russia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532A9BD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Diagnostic &amp; Clinical study 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3A6BCCF" w14:textId="77777777" w:rsidR="008B78A4" w:rsidRPr="00E87142" w:rsidRDefault="008B78A4" w:rsidP="00610972">
            <w:pPr>
              <w:spacing w:after="120"/>
              <w:rPr>
                <w:i/>
                <w:iCs/>
                <w:sz w:val="18"/>
                <w:szCs w:val="18"/>
                <w:lang w:val="en-GB"/>
              </w:rPr>
            </w:pPr>
            <w:r w:rsidRPr="00E87142">
              <w:rPr>
                <w:i/>
                <w:iCs/>
                <w:sz w:val="18"/>
                <w:szCs w:val="18"/>
                <w:lang w:val="en-GB"/>
              </w:rPr>
              <w:t>MCDS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EA62280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-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12)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6863F0C" w14:textId="77777777" w:rsidR="008B78A4" w:rsidRPr="00E87142" w:rsidRDefault="008B78A4" w:rsidP="00610972">
            <w:pPr>
              <w:spacing w:after="120"/>
              <w:rPr>
                <w:color w:val="000000"/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72D9231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Bilateral proximal osteotomy to treat coxa </w:t>
            </w: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vara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; Bilateral </w:t>
            </w: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valgisation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osteotomy fixed with locking plate to treat radiographic appearance; Guided growth technique with </w:t>
            </w: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hemiepiphyseodesis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to treat valgus knee.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3A4E2BAE" w14:textId="77777777" w:rsidR="008B78A4" w:rsidRPr="00E87142" w:rsidRDefault="008B78A4" w:rsidP="00610972">
            <w:pPr>
              <w:spacing w:after="120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Radiographic imaging to demonstrate reduction in bowlegs. </w:t>
            </w:r>
          </w:p>
        </w:tc>
      </w:tr>
      <w:tr w:rsidR="008B78A4" w:rsidRPr="00E87142" w14:paraId="10FD5EDF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20F59ED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Aldegheri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1999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1F9CA9D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Italy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6DEC9FE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cohort study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BF7F0C3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ACH, HCH,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PAch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Chondropdysplasia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>, TS, ISS, Ellis-van Creveld, Rickets, Adrenogenital syndrome, Laron syndrome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1DC3A5D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18.4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150)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8B7CD3C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E4973A0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Distraction osteogenesis to lengthen bones.  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12E5B27F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Increased of the tibiae, osseous consolidation (healing index) and complications.  </w:t>
            </w:r>
          </w:p>
        </w:tc>
      </w:tr>
      <w:tr w:rsidR="008B78A4" w:rsidRPr="00E87142" w14:paraId="5B67478D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32D5558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Aldegheri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et al. 2001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D3003FB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Italy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615AD6C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cohort study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8AAB7AA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ACH, HCH, TS, ISS, Proportionate short stature, Dysmorphophobia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854CDC6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16.4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140)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866F6AD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1122B36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Mid-shaft osteotomy with gradual distraction, Distraction of distal physis by means of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chondrodiastasis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and Distraction osteogenesis by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callostasis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to lengthen bones. 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31105A5C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Increase in stature obtained; increase in length of the operated bone segments; complications and long-term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sequelas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; union time; total treatment time. </w:t>
            </w:r>
          </w:p>
        </w:tc>
      </w:tr>
      <w:tr w:rsidR="008B78A4" w:rsidRPr="00E87142" w14:paraId="58D676B9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430C02F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Appan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et al. 1990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D497FAC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UK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7B3D6F5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Case study, Retrospective diagnostic study and RCT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94A3705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HCH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F2D6F44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-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84)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D12633D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Pharmacological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575E556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Growth hormone therapy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76EC0DB3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Height difference (Standard deviation scores to mean height)</w:t>
            </w:r>
          </w:p>
        </w:tc>
      </w:tr>
      <w:tr w:rsidR="008B78A4" w:rsidRPr="00E87142" w14:paraId="1482990B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6958A39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Baca et al. 2010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1E47F94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USA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5FF268F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case series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87714F7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B6C197A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10.6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18)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D1A3DAE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2BD0651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Spinal decompression with or without instrumentation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68A81D8D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Symptom score: differences between baseline, postop, revision postop and final follow-up. </w:t>
            </w:r>
          </w:p>
        </w:tc>
      </w:tr>
      <w:tr w:rsidR="008B78A4" w:rsidRPr="00E87142" w14:paraId="2C6EB5C2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1360745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Balci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et al. 2015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0C1DED3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Turkey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88E08C3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Retrospective case series 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BF2FEF4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42B8F83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10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18)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62D6942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72BEC8F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Monorail external fixators for bilateral humeral lengthening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3B1EECC9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Lengthening </w:t>
            </w:r>
            <w:proofErr w:type="gramStart"/>
            <w:r w:rsidRPr="00E87142">
              <w:rPr>
                <w:sz w:val="18"/>
                <w:szCs w:val="18"/>
                <w:lang w:val="en-GB"/>
              </w:rPr>
              <w:t>amount,  bone</w:t>
            </w:r>
            <w:proofErr w:type="gramEnd"/>
            <w:r w:rsidRPr="00E87142">
              <w:rPr>
                <w:sz w:val="18"/>
                <w:szCs w:val="18"/>
                <w:lang w:val="en-GB"/>
              </w:rPr>
              <w:t xml:space="preserve"> function score </w:t>
            </w:r>
            <w:r>
              <w:rPr>
                <w:noProof/>
                <w:sz w:val="18"/>
                <w:szCs w:val="18"/>
                <w:lang w:val="en-GB"/>
              </w:rPr>
              <w:t>(50)</w:t>
            </w:r>
            <w:r w:rsidRPr="00E87142">
              <w:rPr>
                <w:sz w:val="18"/>
                <w:szCs w:val="18"/>
                <w:lang w:val="en-GB"/>
              </w:rPr>
              <w:t xml:space="preserve">, DASH score </w:t>
            </w:r>
            <w:r>
              <w:rPr>
                <w:noProof/>
                <w:sz w:val="18"/>
                <w:szCs w:val="18"/>
                <w:lang w:val="en-GB"/>
              </w:rPr>
              <w:t>(Beaton et al., 12)</w:t>
            </w:r>
          </w:p>
        </w:tc>
      </w:tr>
      <w:tr w:rsidR="008B78A4" w:rsidRPr="00E87142" w14:paraId="1E974F29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E3FAC0B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lastRenderedPageBreak/>
              <w:t>Bayhan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et al. 2017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BB7F04B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USA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A8A6655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Retrospective case series 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A8492BC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SED Congenita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AFE178D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9.6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79)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0DA7396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791029B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Valgus extension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derotation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osteotomy, with internal plate fixation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711DC83A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Hip pain, range of motion, presence of ossification, radiographic (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Hilgenreiner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trochanteric angle and neck shaft angle) and Sagittal Spinal Measurements</w:t>
            </w:r>
          </w:p>
        </w:tc>
      </w:tr>
      <w:tr w:rsidR="008B78A4" w:rsidRPr="00E87142" w14:paraId="729FA7AC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DC49590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Beals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et al. 2005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9AA7B98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USA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C545E98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cohort study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BBDC808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AAFBA71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8.5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22)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2904B3A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4A2E987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Proximal tibial closing wedge osteotomy; Opening wedge tibial osteotomy of the tibia with external fixation with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bicortical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pins; tibia osteotomies below the tibia tubercle and distal fibular osteotomies with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Ilizarov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ring fixators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08E5CABF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Angle correction of bowlegs, pre &amp; post-op distance from the mechanical axis to the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center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of the knee joint.</w:t>
            </w:r>
          </w:p>
        </w:tc>
      </w:tr>
      <w:tr w:rsidR="008B78A4" w:rsidRPr="00E87142" w14:paraId="6CDA0951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1F06AB7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Bridges et al. 1991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F3AEACA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UK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24E080D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Case series 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69784D6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HCH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DCFBC5D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9.6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31)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57A3C94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Pharmacological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D72CD9C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Growth hormone therapy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1846BD54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Height standard deviation score (pre-treatment and up to 3 years post). </w:t>
            </w:r>
          </w:p>
        </w:tc>
      </w:tr>
      <w:tr w:rsidR="008B78A4" w:rsidRPr="00E87142" w14:paraId="3816D05F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3A46569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Carlisle et al. 2011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4D31FB8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USA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274C6FC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Retrospective analysis, survey 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5029607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F425446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37.7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49)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EA7D114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Surgical 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70CC954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Thoracolumbar laminectomy 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609465EB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Postoperative improvement in walking distance and independence level (Modified Rankin Scale level; </w:t>
            </w:r>
            <w:r>
              <w:rPr>
                <w:noProof/>
                <w:sz w:val="18"/>
                <w:szCs w:val="18"/>
                <w:lang w:val="en-GB"/>
              </w:rPr>
              <w:t>(Sulter et al., 70)</w:t>
            </w:r>
            <w:r w:rsidRPr="00E87142">
              <w:rPr>
                <w:sz w:val="18"/>
                <w:szCs w:val="18"/>
                <w:lang w:val="en-GB"/>
              </w:rPr>
              <w:t xml:space="preserve">), intraoperative and post-op complications, and preoperative neurologic symptom severity. </w:t>
            </w:r>
          </w:p>
        </w:tc>
      </w:tr>
      <w:tr w:rsidR="008B78A4" w:rsidRPr="00E87142" w14:paraId="14A60EC5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E44AAD8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Chang et al. 2015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B5B149C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China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0326CFA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Retrospective cohort study 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98B9786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CCD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B40CE51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28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15)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037BCB5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Surgical 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54F704E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Periodontal and endodontic treatments; Periodontal, </w:t>
            </w:r>
            <w:proofErr w:type="gramStart"/>
            <w:r w:rsidRPr="00E87142">
              <w:rPr>
                <w:sz w:val="18"/>
                <w:szCs w:val="18"/>
                <w:lang w:val="en-GB"/>
              </w:rPr>
              <w:t>endodontic</w:t>
            </w:r>
            <w:proofErr w:type="gramEnd"/>
            <w:r w:rsidRPr="00E87142">
              <w:rPr>
                <w:sz w:val="18"/>
                <w:szCs w:val="18"/>
                <w:lang w:val="en-GB"/>
              </w:rPr>
              <w:t xml:space="preserve"> and prosthodontic treatments; Comprehensive treatment, including periodontal, endodontic, surgical, orthodontic and prosthodontic treatments 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7394203F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Periodontal status, </w:t>
            </w:r>
            <w:proofErr w:type="gramStart"/>
            <w:r w:rsidRPr="00E87142">
              <w:rPr>
                <w:sz w:val="18"/>
                <w:szCs w:val="18"/>
                <w:lang w:val="en-GB"/>
              </w:rPr>
              <w:t>occlusion</w:t>
            </w:r>
            <w:proofErr w:type="gramEnd"/>
            <w:r w:rsidRPr="00E87142">
              <w:rPr>
                <w:sz w:val="18"/>
                <w:szCs w:val="18"/>
                <w:lang w:val="en-GB"/>
              </w:rPr>
              <w:t xml:space="preserve"> and aesthetics.</w:t>
            </w:r>
          </w:p>
        </w:tc>
      </w:tr>
      <w:tr w:rsidR="008B78A4" w:rsidRPr="00E87142" w14:paraId="7A5FD526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1915509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Donaldson et al. 2015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F782051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UK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E7CD2C4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Retrospective case series 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5AE6F1C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FE97112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7.8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10)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9A38898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1BC0CE0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Distraction osteogenesis with either an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Ilizarov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or Taylor spatial frame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5646EF86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Length gained and complications.</w:t>
            </w:r>
          </w:p>
        </w:tc>
      </w:tr>
      <w:tr w:rsidR="008B78A4" w:rsidRPr="00E87142" w14:paraId="1EFD94FD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980FB1B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Harada et al. 2017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42E0EA7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Japan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5F50053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cohort study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31A3A1B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034025C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-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52)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64B7A7C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Pharmacological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8A6B293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Growth hormone therapy with or without limb lengthening/gonadal suppression therapy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0E1D8ED7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Height SD score at GH initiation (SD), for tibial and lengthening: standing height gain and theoretical lengthening value.</w:t>
            </w:r>
          </w:p>
        </w:tc>
      </w:tr>
      <w:tr w:rsidR="008B78A4" w:rsidRPr="00E87142" w14:paraId="6048740F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149814F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Hertel et al. 2005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BF26D8A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Denmark, Finland, Germany, Norway &amp; Sweden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E615008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Clinical trial  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647FC87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2AF94AB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7.3 </w:t>
            </w:r>
            <w:r w:rsidRPr="00E87142">
              <w:rPr>
                <w:sz w:val="18"/>
                <w:szCs w:val="18"/>
                <w:lang w:val="en-GB"/>
              </w:rPr>
              <w:br/>
            </w:r>
            <w:r w:rsidRPr="00E87142">
              <w:rPr>
                <w:sz w:val="16"/>
                <w:szCs w:val="16"/>
                <w:lang w:val="en-GB"/>
              </w:rPr>
              <w:t>(Group 1)</w:t>
            </w:r>
            <w:r w:rsidRPr="00E87142">
              <w:rPr>
                <w:sz w:val="18"/>
                <w:szCs w:val="18"/>
                <w:lang w:val="en-GB"/>
              </w:rPr>
              <w:t xml:space="preserve"> </w:t>
            </w:r>
            <w:r w:rsidRPr="00E87142">
              <w:rPr>
                <w:sz w:val="18"/>
                <w:szCs w:val="18"/>
                <w:lang w:val="en-GB"/>
              </w:rPr>
              <w:br/>
              <w:t xml:space="preserve">7.1 </w:t>
            </w:r>
            <w:r w:rsidRPr="00E87142">
              <w:rPr>
                <w:sz w:val="18"/>
                <w:szCs w:val="18"/>
                <w:lang w:val="en-GB"/>
              </w:rPr>
              <w:br/>
            </w:r>
            <w:r w:rsidRPr="00E87142">
              <w:rPr>
                <w:sz w:val="16"/>
                <w:szCs w:val="16"/>
                <w:lang w:val="en-GB"/>
              </w:rPr>
              <w:t>(Group 2)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35)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4E744DC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Pharmacological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7494C24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Growth hormone therapy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11FADEF7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Height velocity, height SD score, sitting height, arm span, sitting height ratios SDS, IGF-I SDS. </w:t>
            </w:r>
          </w:p>
        </w:tc>
      </w:tr>
      <w:tr w:rsidR="008B78A4" w:rsidRPr="00E87142" w14:paraId="1AFD3CC3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699447B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lastRenderedPageBreak/>
              <w:t>Hunter 1999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0E50523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Australia, Canada &amp; UK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D03037A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Survey 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7A95182" w14:textId="77777777" w:rsidR="008B78A4" w:rsidRPr="00E87142" w:rsidRDefault="008B78A4" w:rsidP="006109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ACH, Cartilage-hair hypoplasia,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Acromesomelia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, Diastrophic dysplasia, HCH,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Kniest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, MED,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PAch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, 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MCDS</w:t>
            </w:r>
            <w:r w:rsidRPr="00E87142">
              <w:rPr>
                <w:sz w:val="18"/>
                <w:szCs w:val="18"/>
                <w:lang w:val="en-GB"/>
              </w:rPr>
              <w:t>, SED Congenita, Ellis van Creveld, SEDX-linked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5A8E189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^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197)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AE1219B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9D3132C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Understanding perceptions of surgical outcomes for: proximal femoral osteotomies, proximal tibial osteotomies, distal femoral osteotomies, amputations at the ankle, </w:t>
            </w:r>
            <w:proofErr w:type="gramStart"/>
            <w:r w:rsidRPr="00E87142">
              <w:rPr>
                <w:sz w:val="18"/>
                <w:szCs w:val="18"/>
                <w:lang w:val="en-GB"/>
              </w:rPr>
              <w:t>Achilles</w:t>
            </w:r>
            <w:proofErr w:type="gramEnd"/>
            <w:r w:rsidRPr="00E87142">
              <w:rPr>
                <w:sz w:val="18"/>
                <w:szCs w:val="18"/>
                <w:lang w:val="en-GB"/>
              </w:rPr>
              <w:t xml:space="preserve"> tendon lengthening, posteromedial release of feet, miscellaneous (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Ilazarov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for lengthening or joint alignment, stapling, bilateral hamstring releases, bilateral tibial distal osteotomies), foramen magnum-cervical fusions, scoliosis, thoracolumbar fusion/spinal decompression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51934CFC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Satisfaction score with surgery in terms of initial goals (disaster, much worse, bit worse, same, bit better, much better, completely better). </w:t>
            </w:r>
          </w:p>
        </w:tc>
      </w:tr>
      <w:tr w:rsidR="008B78A4" w:rsidRPr="00E87142" w14:paraId="08ADA463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010B6D2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Kanazawa et al. 2003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C424FB0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Japan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6F7CBA9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Clinical trial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B4CE6C3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ACH, HCH,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PAch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, 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MCDS</w:t>
            </w:r>
            <w:r w:rsidRPr="00E87142">
              <w:rPr>
                <w:sz w:val="18"/>
                <w:szCs w:val="18"/>
                <w:lang w:val="en-GB"/>
              </w:rPr>
              <w:t>, SED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03DB4E9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^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85)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A5221F7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Pharmacological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BEDD9F8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Growth hormone therapy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7ECFE5BE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Height gain and height Z score,</w:t>
            </w:r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insulin-like growth factor. </w:t>
            </w:r>
          </w:p>
        </w:tc>
      </w:tr>
      <w:tr w:rsidR="008B78A4" w:rsidRPr="00E87142" w14:paraId="195F7BB7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8880EE9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Kashiwagi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et al. 2001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6B0A2CF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Japan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162D8CF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Retrospective case series 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8244F78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ACH, HCH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409995E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12.8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10)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F4D7EC6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B051A51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Lengthening of the humeri using fixators (proximal or distal fixation)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7DCF6B97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Length gained, duration of external fixation, healing index, complications, some functional outcomes. </w:t>
            </w:r>
          </w:p>
        </w:tc>
      </w:tr>
      <w:tr w:rsidR="008B78A4" w:rsidRPr="00E87142" w14:paraId="213E563A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F19D8B2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Kim et al. (a) 2012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D9B0DDE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Korea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06FB206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case series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80D68BF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57835AF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11.8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12)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FB073A9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F51E240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sz w:val="18"/>
                <w:szCs w:val="18"/>
                <w:lang w:val="en-GB"/>
              </w:rPr>
              <w:t>Monolateral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external fixators for lower limb lengthening 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and QoL survey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13619283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sz w:val="18"/>
                <w:szCs w:val="18"/>
                <w:lang w:val="en-GB"/>
              </w:rPr>
              <w:t>Humerus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/femur lengthening, healing index, external fixator index, and complications. </w:t>
            </w:r>
          </w:p>
        </w:tc>
      </w:tr>
      <w:tr w:rsidR="008B78A4" w:rsidRPr="00E87142" w14:paraId="1144580A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F7EB01B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Kim et al. (b) 2012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A36EF1F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Korea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8806714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cohort study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0FF5CE8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F9C06AC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12.7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22)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FB8DEE2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24B5B3F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sz w:val="18"/>
                <w:szCs w:val="18"/>
                <w:lang w:val="en-GB"/>
              </w:rPr>
              <w:t>Ilizarov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ring fixator for bilateral tibial lengthening;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Monolateral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external fixator for bilateral femoral lengthening;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 xml:space="preserve"> and QoL survey 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1FF83CE1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Lengthening percentage, fixator index, bone healing index, </w:t>
            </w:r>
            <w:proofErr w:type="gramStart"/>
            <w:r w:rsidRPr="00E87142">
              <w:rPr>
                <w:sz w:val="18"/>
                <w:szCs w:val="18"/>
                <w:lang w:val="en-GB"/>
              </w:rPr>
              <w:t>complications</w:t>
            </w:r>
            <w:proofErr w:type="gramEnd"/>
            <w:r w:rsidRPr="00E87142">
              <w:rPr>
                <w:sz w:val="18"/>
                <w:szCs w:val="18"/>
                <w:lang w:val="en-GB"/>
              </w:rPr>
              <w:t xml:space="preserve"> and quality-of-life scores (AAOS lower limb outcomes; Rosenberg score; SF-36;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Pediatric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Quality-of-life).</w:t>
            </w:r>
          </w:p>
        </w:tc>
      </w:tr>
      <w:tr w:rsidR="008B78A4" w:rsidRPr="00E87142" w14:paraId="364A5EB2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5F22904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Kim et al. 2017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61C2677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Korea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0FC7CEB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prognostic study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1512D79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MED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24A363A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9.6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40)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40F1C8C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External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2C6F9A8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Conservative treatment:  limited weight bearing with crutches or a cane, control of body weight, physical therapy to restore internal rotation and abduction, and intermittent pain medications.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666470DB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Radiographic imaging of hips for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center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-edge angle, femoral head coverage, spherical index, acetabular depth index, acetabular angle, neck-shaft angle,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Stulberg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classification. Self-reported Harris hip score and visual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analog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scale score [pain and stiffness].</w:t>
            </w:r>
          </w:p>
        </w:tc>
      </w:tr>
      <w:tr w:rsidR="008B78A4" w:rsidRPr="00E87142" w14:paraId="305AAA66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E1FA409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lastRenderedPageBreak/>
              <w:t>Kitoh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et al. 2007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EE4D125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Japan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B387D84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Retrospective cohort study  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133FB35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ACH, HCH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238FA52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16.3 </w:t>
            </w:r>
            <w:r w:rsidRPr="00E87142">
              <w:rPr>
                <w:sz w:val="16"/>
                <w:szCs w:val="16"/>
                <w:lang w:val="en-GB"/>
              </w:rPr>
              <w:t>(Treatment)</w:t>
            </w:r>
            <w:r w:rsidRPr="00E87142">
              <w:rPr>
                <w:sz w:val="18"/>
                <w:szCs w:val="18"/>
                <w:lang w:val="en-GB"/>
              </w:rPr>
              <w:t xml:space="preserve"> 16.6 </w:t>
            </w:r>
            <w:r w:rsidRPr="00E87142">
              <w:rPr>
                <w:sz w:val="18"/>
                <w:szCs w:val="18"/>
                <w:lang w:val="en-GB"/>
              </w:rPr>
              <w:br/>
            </w:r>
            <w:r w:rsidRPr="00E87142">
              <w:rPr>
                <w:sz w:val="16"/>
                <w:szCs w:val="16"/>
                <w:lang w:val="en-GB"/>
              </w:rPr>
              <w:t>(Control)</w:t>
            </w:r>
            <w:r w:rsidRPr="00E87142">
              <w:rPr>
                <w:sz w:val="18"/>
                <w:szCs w:val="18"/>
                <w:lang w:val="en-GB"/>
              </w:rPr>
              <w:t xml:space="preserve"> 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20)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EE7DC01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 and clinical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FEFDF64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Bone marrow cells and platelet-rich plasma on healing lengthened bones using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monolateral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external fixators. 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2059CEAE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Healing index and lengthening of femur/ tibiae.</w:t>
            </w:r>
          </w:p>
        </w:tc>
      </w:tr>
      <w:tr w:rsidR="008B78A4" w:rsidRPr="00E87142" w14:paraId="12C2FEF8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147E5F2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Kitoh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et al. 2014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E4D350D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Japan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2F92025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Retrospective case series  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A52FEEA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ACH, HCH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D0A17D3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14.6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24)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740B1B3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7EDF4C5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Percutaneous osteotomy with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monolateral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external fixator and gradual distraction</w:t>
            </w:r>
          </w:p>
          <w:p w14:paraId="7ED4141C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291481C4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Tibia/femur lengthening, healing index, fractures (complication), callus shape. </w:t>
            </w:r>
          </w:p>
        </w:tc>
      </w:tr>
      <w:tr w:rsidR="008B78A4" w:rsidRPr="00E87142" w14:paraId="75BD9D9E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DBC1D80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Kubota et al. 2016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4C49430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Japan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475C35D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Longitudinal Cohort Study  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4D49D07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ACH, HCH, ISS, GH deficiency, Short for gestational age 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B98F202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^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58)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588EFC0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Pharmacological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16254FF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Growth hormone therapy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04636F9D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Serum NT-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proCNP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levels, </w:t>
            </w:r>
            <w:r w:rsidRPr="00E87142">
              <w:rPr>
                <w:color w:val="141413"/>
                <w:sz w:val="18"/>
                <w:szCs w:val="18"/>
                <w:lang w:val="en-GB"/>
              </w:rPr>
              <w:t xml:space="preserve">IGF-1, height SDS. </w:t>
            </w:r>
          </w:p>
        </w:tc>
      </w:tr>
      <w:tr w:rsidR="008B78A4" w:rsidRPr="00E87142" w14:paraId="023B9CC8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654B076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Leilei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et al. 2018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A024E4B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China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58292A0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Retrospective case series 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D3FD5DF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4FCAC5E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2.3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39)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C6D829D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External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038B387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Brace 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6A4C0A7F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Thoracolumbar Kyphosis</w:t>
            </w:r>
            <w:r w:rsidRPr="00E87142">
              <w:rPr>
                <w:sz w:val="18"/>
                <w:szCs w:val="18"/>
                <w:lang w:val="en-GB"/>
              </w:rPr>
              <w:t xml:space="preserve">, lumbar lordosis, percentage of apical vertebra wedging for height, apical vertebral translation, pelvic </w:t>
            </w:r>
            <w:proofErr w:type="gramStart"/>
            <w:r w:rsidRPr="00E87142">
              <w:rPr>
                <w:sz w:val="18"/>
                <w:szCs w:val="18"/>
                <w:lang w:val="en-GB"/>
              </w:rPr>
              <w:t>tilt</w:t>
            </w:r>
            <w:proofErr w:type="gramEnd"/>
            <w:r w:rsidRPr="00E87142">
              <w:rPr>
                <w:sz w:val="18"/>
                <w:szCs w:val="18"/>
                <w:lang w:val="en-GB"/>
              </w:rPr>
              <w:t xml:space="preserve"> and pelvic incidence. </w:t>
            </w:r>
          </w:p>
        </w:tc>
      </w:tr>
      <w:tr w:rsidR="008B78A4" w:rsidRPr="00E87142" w14:paraId="011F8EFC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3FA54AF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Lim et al. 2009 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58FA7F9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Korea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32BE99B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Retrospective case series 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6AD9362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MED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BFBF9A9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47.2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14)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CA580D0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44BA325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Total hip arthroplasties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14BEBEC0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sz w:val="18"/>
                <w:szCs w:val="18"/>
                <w:lang w:val="en-GB" w:eastAsia="es-ES_tradnl"/>
              </w:rPr>
              <w:t>Center</w:t>
            </w:r>
            <w:proofErr w:type="spellEnd"/>
            <w:r w:rsidRPr="00E87142">
              <w:rPr>
                <w:sz w:val="18"/>
                <w:szCs w:val="18"/>
                <w:lang w:val="en-GB" w:eastAsia="es-ES_tradnl"/>
              </w:rPr>
              <w:t xml:space="preserve"> of rotatio</w:t>
            </w:r>
            <w:r w:rsidRPr="00E87142">
              <w:rPr>
                <w:sz w:val="18"/>
                <w:szCs w:val="18"/>
                <w:lang w:val="en-GB"/>
              </w:rPr>
              <w:t>n (horizontal, v</w:t>
            </w:r>
            <w:r w:rsidRPr="00E87142">
              <w:rPr>
                <w:sz w:val="18"/>
                <w:szCs w:val="18"/>
                <w:lang w:val="en-GB" w:eastAsia="es-ES_tradnl"/>
              </w:rPr>
              <w:t>ertical</w:t>
            </w:r>
            <w:r w:rsidRPr="00E87142">
              <w:rPr>
                <w:sz w:val="18"/>
                <w:szCs w:val="18"/>
                <w:lang w:val="en-GB"/>
              </w:rPr>
              <w:t>), f</w:t>
            </w:r>
            <w:r w:rsidRPr="00E87142">
              <w:rPr>
                <w:sz w:val="18"/>
                <w:szCs w:val="18"/>
                <w:lang w:val="en-GB" w:eastAsia="es-ES_tradnl"/>
              </w:rPr>
              <w:t>emoral offset</w:t>
            </w:r>
            <w:r w:rsidRPr="00E87142">
              <w:rPr>
                <w:sz w:val="18"/>
                <w:szCs w:val="18"/>
                <w:lang w:val="en-GB"/>
              </w:rPr>
              <w:t>,</w:t>
            </w:r>
            <w:r w:rsidRPr="00E87142">
              <w:rPr>
                <w:sz w:val="18"/>
                <w:szCs w:val="18"/>
                <w:lang w:val="en-GB" w:eastAsia="es-ES_tradnl"/>
              </w:rPr>
              <w:t xml:space="preserve"> </w:t>
            </w:r>
            <w:r w:rsidRPr="00E87142">
              <w:rPr>
                <w:sz w:val="18"/>
                <w:szCs w:val="18"/>
                <w:lang w:val="en-GB"/>
              </w:rPr>
              <w:t>f</w:t>
            </w:r>
            <w:r w:rsidRPr="00E87142">
              <w:rPr>
                <w:sz w:val="18"/>
                <w:szCs w:val="18"/>
                <w:lang w:val="en-GB" w:eastAsia="es-ES_tradnl"/>
              </w:rPr>
              <w:t>emoral neck length</w:t>
            </w:r>
            <w:r w:rsidRPr="00E87142">
              <w:rPr>
                <w:sz w:val="18"/>
                <w:szCs w:val="18"/>
                <w:lang w:val="en-GB"/>
              </w:rPr>
              <w:t>,</w:t>
            </w:r>
            <w:r w:rsidRPr="00E87142">
              <w:rPr>
                <w:sz w:val="18"/>
                <w:szCs w:val="18"/>
                <w:lang w:val="en-GB" w:eastAsia="es-ES_tradnl"/>
              </w:rPr>
              <w:t xml:space="preserve"> </w:t>
            </w:r>
            <w:r w:rsidRPr="00E87142">
              <w:rPr>
                <w:sz w:val="18"/>
                <w:szCs w:val="18"/>
                <w:lang w:val="en-GB"/>
              </w:rPr>
              <w:t>l</w:t>
            </w:r>
            <w:r w:rsidRPr="00E87142">
              <w:rPr>
                <w:sz w:val="18"/>
                <w:szCs w:val="18"/>
                <w:lang w:val="en-GB" w:eastAsia="es-ES_tradnl"/>
              </w:rPr>
              <w:t>imb length</w:t>
            </w:r>
            <w:r w:rsidRPr="00E87142">
              <w:rPr>
                <w:sz w:val="18"/>
                <w:szCs w:val="18"/>
                <w:lang w:val="en-GB"/>
              </w:rPr>
              <w:t xml:space="preserve">, complications. Additional radiographic measures. </w:t>
            </w:r>
          </w:p>
          <w:p w14:paraId="74A88C69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Harris hip score, self-reporting of pain and functionality. </w:t>
            </w:r>
          </w:p>
        </w:tc>
      </w:tr>
      <w:tr w:rsidR="008B78A4" w:rsidRPr="00E87142" w14:paraId="17ED2BF3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2BD1052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Matsushita et al. 2019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A27EB2A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Japan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8757347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Cross-sectional survey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CD431CA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386DD0D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-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567)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7DB0291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Not specified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7FE57C4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Investigating the impact of limb lengthening and hormone treatments on QoL 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2379EFB1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Health related quality-of-life (SF-36) for: physical Component Summary, mental component role/social component summary. </w:t>
            </w:r>
          </w:p>
        </w:tc>
      </w:tr>
      <w:tr w:rsidR="008B78A4" w:rsidRPr="00E87142" w14:paraId="091DB666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0BBCA2B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Mukherjee et al. 2014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F4792A3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USA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7D147D7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case series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2BDD320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7597286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6.6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34)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D8B8148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BEB71B6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Cervicomedullary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decompression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027622B2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Postoperative polysomnography studies, changes in presenting signs and/or symptoms, and radiographic outcomes, such as change in ventricular size, presence or absence of CSF flow and diameter of the spinal cord in neutral, flexion and extension.</w:t>
            </w:r>
          </w:p>
        </w:tc>
      </w:tr>
      <w:tr w:rsidR="008B78A4" w:rsidRPr="00E87142" w14:paraId="4A6E8D2F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3EB0F38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lastRenderedPageBreak/>
              <w:t>Myers et al. 2003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BB3AF99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UK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7647073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case series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33ACCF6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color w:val="141413"/>
                <w:sz w:val="18"/>
                <w:szCs w:val="18"/>
                <w:lang w:val="en-GB"/>
              </w:rPr>
              <w:t xml:space="preserve">ACH, HCH, LWS, </w:t>
            </w:r>
            <w:proofErr w:type="spellStart"/>
            <w:r w:rsidRPr="00E87142">
              <w:rPr>
                <w:color w:val="141413"/>
                <w:sz w:val="18"/>
                <w:szCs w:val="18"/>
                <w:lang w:val="en-GB"/>
              </w:rPr>
              <w:t>Chondrometaphyseal</w:t>
            </w:r>
            <w:proofErr w:type="spellEnd"/>
            <w:r w:rsidRPr="00E87142">
              <w:rPr>
                <w:color w:val="141413"/>
                <w:sz w:val="18"/>
                <w:szCs w:val="18"/>
                <w:lang w:val="en-GB"/>
              </w:rPr>
              <w:t xml:space="preserve"> dysplasia, </w:t>
            </w:r>
            <w:proofErr w:type="spellStart"/>
            <w:r w:rsidRPr="00E87142">
              <w:rPr>
                <w:color w:val="141413"/>
                <w:sz w:val="18"/>
                <w:szCs w:val="18"/>
                <w:lang w:val="en-GB"/>
              </w:rPr>
              <w:t>Osteochondromatosis</w:t>
            </w:r>
            <w:proofErr w:type="spellEnd"/>
            <w:r w:rsidRPr="00E87142">
              <w:rPr>
                <w:color w:val="141413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87142">
              <w:rPr>
                <w:color w:val="141413"/>
                <w:sz w:val="18"/>
                <w:szCs w:val="18"/>
                <w:lang w:val="en-GB"/>
              </w:rPr>
              <w:t>Olliers</w:t>
            </w:r>
            <w:proofErr w:type="spellEnd"/>
            <w:r w:rsidRPr="00E87142">
              <w:rPr>
                <w:color w:val="141413"/>
                <w:sz w:val="18"/>
                <w:szCs w:val="18"/>
                <w:lang w:val="en-GB"/>
              </w:rPr>
              <w:t xml:space="preserve">, SMD, Metaphyseal dysostosis, Ellis van Creveld, Fibrous dysplasia, </w:t>
            </w:r>
            <w:proofErr w:type="spellStart"/>
            <w:r w:rsidRPr="00E87142">
              <w:rPr>
                <w:color w:val="141413"/>
                <w:sz w:val="18"/>
                <w:szCs w:val="18"/>
                <w:lang w:val="en-GB"/>
              </w:rPr>
              <w:t>Jeune</w:t>
            </w:r>
            <w:proofErr w:type="spellEnd"/>
            <w:r w:rsidRPr="00E87142">
              <w:rPr>
                <w:color w:val="141413"/>
                <w:sz w:val="18"/>
                <w:szCs w:val="18"/>
                <w:lang w:val="en-GB"/>
              </w:rPr>
              <w:t xml:space="preserve"> syndrome, </w:t>
            </w:r>
            <w:proofErr w:type="spellStart"/>
            <w:r w:rsidRPr="00E87142">
              <w:rPr>
                <w:color w:val="141413"/>
                <w:sz w:val="18"/>
                <w:szCs w:val="18"/>
                <w:lang w:val="en-GB"/>
              </w:rPr>
              <w:t>Melorheostosis</w:t>
            </w:r>
            <w:proofErr w:type="spellEnd"/>
            <w:r w:rsidRPr="00E87142">
              <w:rPr>
                <w:color w:val="141413"/>
                <w:sz w:val="18"/>
                <w:szCs w:val="18"/>
                <w:lang w:val="en-GB"/>
              </w:rPr>
              <w:t>, MED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1D5C366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12.5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26)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0B5E537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D273B8E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Distraction osteogenesis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6524A8DA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Lengthening, angular correction, length and angular correction, reasons for failure (complications), healing index, lengthening index, and callus diameter ratio. </w:t>
            </w:r>
          </w:p>
        </w:tc>
      </w:tr>
      <w:tr w:rsidR="008B78A4" w:rsidRPr="00E87142" w14:paraId="48B12305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E2B23B0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Nakano-Matsuoka et al. 2017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804C1B9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Japan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988A52E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Retrospective case series 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A35C0C8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B31A827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12.2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54)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B0C9E6F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E26DFFE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External fixation with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Ilizarov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method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546BDAAE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Lengthening, healing index, external fixation period, distraction index, waiting period, width of osteotomy line and range of motion (elbow extension and elbow/shoulder flexion) and related complications.</w:t>
            </w:r>
          </w:p>
        </w:tc>
      </w:tr>
      <w:tr w:rsidR="008B78A4" w:rsidRPr="00E87142" w14:paraId="1040CE21" w14:textId="77777777" w:rsidTr="00610972">
        <w:trPr>
          <w:cantSplit/>
          <w:trHeight w:val="1165"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E99608A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Noonan et al. 1998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D197349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Spain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468999B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cohort study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BD979F2" w14:textId="77777777" w:rsidR="008B78A4" w:rsidRPr="00E87142" w:rsidRDefault="008B78A4" w:rsidP="00610972">
            <w:pPr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ACH, SED,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PAch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, MED, ISS, Metaphyseal Chondrodysplasia, TS, Precocious puberty, Hypothyroidism, Pseudohypoparathyroidism,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Kippel-Trénaunay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syndrome, Congenital short femur, Congenital coxa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vara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>, Hemihypertrophy, Post-traumatic growth arrest, Infectious growth arrest, Fibular hemimelia, Tibial hypoplasia, Ewing sarcoma, Poliomyelitis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127F9F4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11 </w:t>
            </w:r>
            <w:r w:rsidRPr="00E87142">
              <w:rPr>
                <w:sz w:val="18"/>
                <w:szCs w:val="18"/>
                <w:lang w:val="en-GB"/>
              </w:rPr>
              <w:br/>
            </w:r>
            <w:r w:rsidRPr="00E87142">
              <w:rPr>
                <w:sz w:val="16"/>
                <w:szCs w:val="16"/>
                <w:lang w:val="en-GB"/>
              </w:rPr>
              <w:t>(Femoral)</w:t>
            </w:r>
            <w:r w:rsidRPr="00E87142">
              <w:rPr>
                <w:sz w:val="18"/>
                <w:szCs w:val="18"/>
                <w:lang w:val="en-GB"/>
              </w:rPr>
              <w:t xml:space="preserve"> </w:t>
            </w:r>
            <w:r w:rsidRPr="00E87142">
              <w:rPr>
                <w:sz w:val="18"/>
                <w:szCs w:val="18"/>
                <w:lang w:val="en-GB"/>
              </w:rPr>
              <w:br/>
              <w:t xml:space="preserve">13 </w:t>
            </w:r>
            <w:r w:rsidRPr="00E87142">
              <w:rPr>
                <w:sz w:val="18"/>
                <w:szCs w:val="18"/>
                <w:lang w:val="en-GB"/>
              </w:rPr>
              <w:br/>
            </w:r>
            <w:r w:rsidRPr="00E87142">
              <w:rPr>
                <w:sz w:val="16"/>
                <w:szCs w:val="16"/>
                <w:lang w:val="en-GB"/>
              </w:rPr>
              <w:t>(Tibia)</w:t>
            </w:r>
            <w:r w:rsidRPr="00E87142">
              <w:rPr>
                <w:sz w:val="18"/>
                <w:szCs w:val="18"/>
                <w:lang w:val="en-GB"/>
              </w:rPr>
              <w:t xml:space="preserve"> 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121)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5ACD298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217D99A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Distraction osteogenesis with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monolateral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external fixation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0803AE42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Lengthening, duration of distraction, healing indices, </w:t>
            </w:r>
            <w:proofErr w:type="gramStart"/>
            <w:r w:rsidRPr="00E87142">
              <w:rPr>
                <w:sz w:val="18"/>
                <w:szCs w:val="18"/>
                <w:lang w:val="en-GB"/>
              </w:rPr>
              <w:t>complications</w:t>
            </w:r>
            <w:proofErr w:type="gramEnd"/>
            <w:r w:rsidRPr="00E87142">
              <w:rPr>
                <w:sz w:val="18"/>
                <w:szCs w:val="18"/>
                <w:lang w:val="en-GB"/>
              </w:rPr>
              <w:t xml:space="preserve"> and additional revision surgeries (with the outcomes listed).   </w:t>
            </w:r>
          </w:p>
        </w:tc>
      </w:tr>
      <w:tr w:rsidR="008B78A4" w:rsidRPr="00E87142" w14:paraId="1CC206CD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1308BA7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Park et al. 2003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E6A39F7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Korea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C3EB0B1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case series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C0D48B8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4ABB38E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15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10)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A141A09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037C81A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Limb lengthening with a ring fixator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17045874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Lengthening index, complications, radiographic parameters (lumbar lordosis, lumbosacral joint angle, sacral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inclinication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angle,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sacrohorizontal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angle). </w:t>
            </w:r>
          </w:p>
        </w:tc>
      </w:tr>
      <w:tr w:rsidR="008B78A4" w:rsidRPr="00E87142" w14:paraId="2C1D1B90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A8BA3D6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lastRenderedPageBreak/>
              <w:t>Park et al. 2015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A193FE1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Korea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5B46D3B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Retrospective case series 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5CF701D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20CCFCB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10.8 </w:t>
            </w:r>
            <w:r w:rsidRPr="00E87142">
              <w:rPr>
                <w:sz w:val="16"/>
                <w:szCs w:val="16"/>
                <w:lang w:val="en-GB"/>
              </w:rPr>
              <w:t>(Femoral)</w:t>
            </w:r>
            <w:r w:rsidRPr="00E87142">
              <w:rPr>
                <w:sz w:val="16"/>
                <w:szCs w:val="16"/>
                <w:lang w:val="en-GB"/>
              </w:rPr>
              <w:br/>
            </w:r>
            <w:r w:rsidRPr="00E87142">
              <w:rPr>
                <w:sz w:val="18"/>
                <w:szCs w:val="18"/>
                <w:lang w:val="en-GB"/>
              </w:rPr>
              <w:t xml:space="preserve"> 9.2 </w:t>
            </w:r>
            <w:r w:rsidRPr="00E87142">
              <w:rPr>
                <w:sz w:val="18"/>
                <w:szCs w:val="18"/>
                <w:lang w:val="en-GB"/>
              </w:rPr>
              <w:br/>
            </w:r>
            <w:r w:rsidRPr="00E87142">
              <w:rPr>
                <w:sz w:val="16"/>
                <w:szCs w:val="16"/>
                <w:lang w:val="en-GB"/>
              </w:rPr>
              <w:t>(Tibia)</w:t>
            </w:r>
            <w:r w:rsidRPr="00E87142">
              <w:rPr>
                <w:sz w:val="18"/>
                <w:szCs w:val="18"/>
                <w:lang w:val="en-GB"/>
              </w:rPr>
              <w:t xml:space="preserve"> 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28)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08C6E9E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67C955E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sz w:val="18"/>
                <w:szCs w:val="18"/>
                <w:lang w:val="en-GB"/>
              </w:rPr>
              <w:t>Ilizarov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ring fixator,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monolateral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external fixator for lengthening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747AF530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Lengthening, lengthening index, healing index, external fixator index, serial pixel value ratios (at 28 weeks), and complications</w:t>
            </w:r>
          </w:p>
        </w:tc>
      </w:tr>
      <w:tr w:rsidR="008B78A4" w:rsidRPr="00E87142" w14:paraId="16276C67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3B73728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Pinto et al. 2014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6CBDD2F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5F14464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Clinical Trial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3D994E1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color w:val="141413"/>
                <w:sz w:val="18"/>
                <w:szCs w:val="18"/>
                <w:lang w:val="en-GB"/>
              </w:rPr>
              <w:t>HCH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D3172CC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9.3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19)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D0DEE13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Pharmacological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A733362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Growth hormone therapy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40870068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Standing height, sitting height and head circumference, sitting height-to-height ratio, BMI, GH/IGF-1 status, bone age, fat mass. </w:t>
            </w:r>
          </w:p>
        </w:tc>
      </w:tr>
      <w:tr w:rsidR="008B78A4" w:rsidRPr="00E87142" w14:paraId="16FE42A1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1765E00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Ramaswami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et al. 1999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500CA6B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UK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A6228FC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Clinical Trial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2CB4725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B750E69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2.25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35)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4B6C64A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Pharmacological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2E1A6F9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Growth hormone therapy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55CF9119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Height SDS, sitting height SDS,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subsichial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leg length SDS.  </w:t>
            </w:r>
          </w:p>
        </w:tc>
      </w:tr>
      <w:tr w:rsidR="008B78A4" w:rsidRPr="00E87142" w14:paraId="362773FE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34EC619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Savarirayan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et al. 2019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0127BFB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Australia, France, UK &amp; USA,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02B304B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Clinical Trial 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3E85422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2F0809B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7.6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35)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F82957F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Pharmacological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FAE0527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Vosoritide - </w:t>
            </w:r>
            <w:proofErr w:type="gramStart"/>
            <w:r w:rsidRPr="00E87142">
              <w:rPr>
                <w:sz w:val="18"/>
                <w:szCs w:val="18"/>
                <w:lang w:val="en-GB"/>
              </w:rPr>
              <w:t>an</w:t>
            </w:r>
            <w:proofErr w:type="gramEnd"/>
            <w:r w:rsidRPr="00E87142">
              <w:rPr>
                <w:sz w:val="18"/>
                <w:szCs w:val="18"/>
                <w:lang w:val="en-GB"/>
              </w:rPr>
              <w:t xml:space="preserve"> biologic analogue of C type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natruiretic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peptide drug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22085EBE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Adverse events, annualized growth velocity, height (mean Z score), Serum Biomarker Concentrations, estimated bone age/chronological age, upper-to-lower body segment ratio. </w:t>
            </w:r>
          </w:p>
        </w:tc>
      </w:tr>
      <w:tr w:rsidR="008B78A4" w:rsidRPr="00E87142" w14:paraId="48FDE897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299B05E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Seino et al. 1999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D0FB87F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Japan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F25E2BC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Clinical Trial 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B783737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DEB088E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5.2 </w:t>
            </w:r>
            <w:r w:rsidRPr="00E87142">
              <w:rPr>
                <w:sz w:val="18"/>
                <w:szCs w:val="18"/>
                <w:lang w:val="en-GB"/>
              </w:rPr>
              <w:br/>
            </w:r>
            <w:r w:rsidRPr="00E87142">
              <w:rPr>
                <w:sz w:val="16"/>
                <w:szCs w:val="16"/>
                <w:lang w:val="en-GB"/>
              </w:rPr>
              <w:t>(Group 1)</w:t>
            </w:r>
            <w:r w:rsidRPr="00E87142">
              <w:rPr>
                <w:sz w:val="16"/>
                <w:szCs w:val="16"/>
                <w:lang w:val="en-GB"/>
              </w:rPr>
              <w:br/>
            </w:r>
            <w:r w:rsidRPr="00E87142">
              <w:rPr>
                <w:sz w:val="18"/>
                <w:szCs w:val="18"/>
                <w:lang w:val="en-GB"/>
              </w:rPr>
              <w:t xml:space="preserve"> 6.2 </w:t>
            </w:r>
            <w:r w:rsidRPr="00E87142">
              <w:rPr>
                <w:sz w:val="18"/>
                <w:szCs w:val="18"/>
                <w:lang w:val="en-GB"/>
              </w:rPr>
              <w:br/>
            </w:r>
            <w:r w:rsidRPr="00E87142">
              <w:rPr>
                <w:sz w:val="16"/>
                <w:szCs w:val="16"/>
                <w:lang w:val="en-GB"/>
              </w:rPr>
              <w:t>(Group 2)</w:t>
            </w:r>
            <w:r w:rsidRPr="00E87142">
              <w:rPr>
                <w:sz w:val="18"/>
                <w:szCs w:val="18"/>
                <w:lang w:val="en-GB"/>
              </w:rPr>
              <w:t xml:space="preserve"> 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145)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CB405AE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Pharmacological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14AB2BC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Growth hormone therapy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69B7BDEC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Height velocity (cm/year) and height velocity SDS.  </w:t>
            </w:r>
          </w:p>
        </w:tc>
      </w:tr>
      <w:tr w:rsidR="008B78A4" w:rsidRPr="00E87142" w14:paraId="691D6A0F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FD0CB3C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Seino et al. 2000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811A998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Japan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8A3FC2A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Clinical Trial 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60DD031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AF8C83C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5.2 </w:t>
            </w:r>
            <w:r w:rsidRPr="00E87142">
              <w:rPr>
                <w:sz w:val="18"/>
                <w:szCs w:val="18"/>
                <w:lang w:val="en-GB"/>
              </w:rPr>
              <w:br/>
            </w:r>
            <w:r w:rsidRPr="00E87142">
              <w:rPr>
                <w:sz w:val="16"/>
                <w:szCs w:val="16"/>
                <w:lang w:val="en-GB"/>
              </w:rPr>
              <w:t>(Group 1)</w:t>
            </w:r>
            <w:r w:rsidRPr="00E87142">
              <w:rPr>
                <w:sz w:val="18"/>
                <w:szCs w:val="18"/>
                <w:lang w:val="en-GB"/>
              </w:rPr>
              <w:t xml:space="preserve"> </w:t>
            </w:r>
            <w:r w:rsidRPr="00E87142">
              <w:rPr>
                <w:sz w:val="18"/>
                <w:szCs w:val="18"/>
                <w:lang w:val="en-GB"/>
              </w:rPr>
              <w:br/>
              <w:t xml:space="preserve">6.2 </w:t>
            </w:r>
            <w:r w:rsidRPr="00E87142">
              <w:rPr>
                <w:sz w:val="18"/>
                <w:szCs w:val="18"/>
                <w:lang w:val="en-GB"/>
              </w:rPr>
              <w:br/>
            </w:r>
            <w:r w:rsidRPr="00E87142">
              <w:rPr>
                <w:sz w:val="16"/>
                <w:szCs w:val="16"/>
                <w:lang w:val="en-GB"/>
              </w:rPr>
              <w:t>(Group 2)</w:t>
            </w:r>
            <w:r w:rsidRPr="00E87142">
              <w:rPr>
                <w:sz w:val="18"/>
                <w:szCs w:val="18"/>
                <w:lang w:val="en-GB"/>
              </w:rPr>
              <w:t xml:space="preserve"> 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145)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52676DE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Pharmacological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FAB1105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Growth hormone therapy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20B8B5A6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Height velocity (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cms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) and height velocity SDS, height Z-score, growth rate, serum levels of IGF-I and IGFBP-3. </w:t>
            </w:r>
          </w:p>
        </w:tc>
      </w:tr>
      <w:tr w:rsidR="008B78A4" w:rsidRPr="00E87142" w14:paraId="647CBB3D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87AA99A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Serhan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Er et al. 2017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4C93EDB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USA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77D1D18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highlight w:val="yellow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cohort study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5D1EAC6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SED Congenita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1288B96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6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20)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B7FFBA5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7E5B00D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Posterior cervical arthrodesis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019FA4AA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Fusion achievement and decompression, immobilization period, revision surgeries, neural </w:t>
            </w:r>
            <w:proofErr w:type="gramStart"/>
            <w:r w:rsidRPr="00E87142">
              <w:rPr>
                <w:sz w:val="18"/>
                <w:szCs w:val="18"/>
                <w:lang w:val="en-GB"/>
              </w:rPr>
              <w:t>outcomes</w:t>
            </w:r>
            <w:proofErr w:type="gramEnd"/>
            <w:r w:rsidRPr="00E87142">
              <w:rPr>
                <w:sz w:val="18"/>
                <w:szCs w:val="18"/>
                <w:lang w:val="en-GB"/>
              </w:rPr>
              <w:t xml:space="preserve"> and complications.</w:t>
            </w:r>
          </w:p>
        </w:tc>
      </w:tr>
      <w:tr w:rsidR="008B78A4" w:rsidRPr="00E87142" w14:paraId="6C9395F4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027F6D1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Shohat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et al. 1996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8348532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USA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1E69DC3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Clinical Study 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73F3070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ACH, </w:t>
            </w:r>
            <w:r w:rsidRPr="00E87142">
              <w:rPr>
                <w:color w:val="141413"/>
                <w:sz w:val="18"/>
                <w:szCs w:val="18"/>
                <w:lang w:val="en-GB"/>
              </w:rPr>
              <w:t>HCH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E31F00F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8.8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15)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CD35235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Pharmacological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2057E51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Growth hormone therapy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47CBB2B5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Height (SD), height velocity (cm/year), acceleration during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hGH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(cm/year), growth rates and long-bone growth rates, and biochemical levels.  </w:t>
            </w:r>
          </w:p>
        </w:tc>
      </w:tr>
      <w:tr w:rsidR="008B78A4" w:rsidRPr="00E87142" w14:paraId="7A3ED689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4ECA76D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Sisk et al. 1999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5DFEF1E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USA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AE528BD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case series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458C881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D10E1CC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3.8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36)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BB2F5FF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Surgical 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B941BE3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proofErr w:type="gramStart"/>
            <w:r w:rsidRPr="00E87142">
              <w:rPr>
                <w:sz w:val="18"/>
                <w:szCs w:val="18"/>
                <w:lang w:val="en-GB"/>
              </w:rPr>
              <w:t>Adenotonsillectomy,  adenoidectomy</w:t>
            </w:r>
            <w:proofErr w:type="gramEnd"/>
            <w:r w:rsidRPr="00E87142">
              <w:rPr>
                <w:sz w:val="18"/>
                <w:szCs w:val="18"/>
                <w:lang w:val="en-GB"/>
              </w:rPr>
              <w:t xml:space="preserve"> or </w:t>
            </w:r>
            <w:r w:rsidRPr="00E87142">
              <w:rPr>
                <w:color w:val="000000"/>
                <w:sz w:val="18"/>
                <w:szCs w:val="18"/>
                <w:lang w:val="en-GB"/>
              </w:rPr>
              <w:t>tonsillectomy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7BFED503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Effectiveness of adenotonsillectomy (changes in symptoms), revision surgery and complications. </w:t>
            </w:r>
          </w:p>
        </w:tc>
      </w:tr>
      <w:tr w:rsidR="008B78A4" w:rsidRPr="00E87142" w14:paraId="4E800E5B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7B94F1D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lastRenderedPageBreak/>
              <w:t>Sitoula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et al. 2014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B1CE36C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USA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E4DA8E9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Retrospective cohort study 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455C418" w14:textId="77777777" w:rsidR="008B78A4" w:rsidRPr="00E87142" w:rsidRDefault="008B78A4" w:rsidP="00610972">
            <w:pPr>
              <w:spacing w:after="120"/>
              <w:rPr>
                <w:b/>
                <w:bCs/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SED, SEMD,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Kniest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Morquio</w:t>
            </w:r>
            <w:proofErr w:type="spellEnd"/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9509135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6.5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24)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2DF527A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  <w:shd w:val="clear" w:color="auto" w:fill="auto"/>
          </w:tcPr>
          <w:p w14:paraId="7C6C034F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highlight w:val="yellow"/>
                <w:lang w:val="en-GB"/>
              </w:rPr>
            </w:pPr>
            <w:proofErr w:type="spellStart"/>
            <w:r w:rsidRPr="00E87142">
              <w:rPr>
                <w:color w:val="141413"/>
                <w:sz w:val="18"/>
                <w:szCs w:val="18"/>
                <w:lang w:val="en-GB"/>
              </w:rPr>
              <w:t>Occipitocervical</w:t>
            </w:r>
            <w:proofErr w:type="spellEnd"/>
            <w:r w:rsidRPr="00E87142">
              <w:rPr>
                <w:color w:val="141413"/>
                <w:sz w:val="18"/>
                <w:szCs w:val="18"/>
                <w:lang w:val="en-GB"/>
              </w:rPr>
              <w:t xml:space="preserve"> fusion with new cable technique (Occiput to C2 fusion with or with-out C1 decompression)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56C7EA9B" w14:textId="77777777" w:rsidR="008B78A4" w:rsidRPr="00E87142" w:rsidRDefault="008B78A4" w:rsidP="00610972">
            <w:pPr>
              <w:spacing w:after="120"/>
              <w:jc w:val="both"/>
              <w:rPr>
                <w:color w:val="141413"/>
                <w:sz w:val="18"/>
                <w:szCs w:val="18"/>
                <w:lang w:val="en-GB"/>
              </w:rPr>
            </w:pPr>
            <w:r w:rsidRPr="00E87142">
              <w:rPr>
                <w:color w:val="141413"/>
                <w:sz w:val="18"/>
                <w:szCs w:val="18"/>
                <w:lang w:val="en-GB"/>
              </w:rPr>
              <w:t xml:space="preserve">Fusion, neurologic outcomes (mid-to-long term), and complications.  </w:t>
            </w:r>
          </w:p>
        </w:tc>
      </w:tr>
      <w:tr w:rsidR="008B78A4" w:rsidRPr="00E87142" w14:paraId="3FBDEF08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1B38EEE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Song et al. 2018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07EFA16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Korea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24CC542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case series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6382F58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47D3B6A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11.1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34)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35D3E14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B2366AD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Femoral lengthening using transverse osteotomy with a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monolateral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external fixator. 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3826B36B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color w:val="141413"/>
                <w:sz w:val="18"/>
                <w:szCs w:val="18"/>
                <w:lang w:val="en-GB"/>
              </w:rPr>
              <w:t xml:space="preserve">Range of movement (knee and hip), pelvic tilt, pelvic incidence, sacral </w:t>
            </w:r>
            <w:proofErr w:type="gramStart"/>
            <w:r w:rsidRPr="00E87142">
              <w:rPr>
                <w:color w:val="141413"/>
                <w:sz w:val="18"/>
                <w:szCs w:val="18"/>
                <w:lang w:val="en-GB"/>
              </w:rPr>
              <w:t>slope</w:t>
            </w:r>
            <w:proofErr w:type="gramEnd"/>
            <w:r w:rsidRPr="00E87142">
              <w:rPr>
                <w:color w:val="141413"/>
                <w:sz w:val="18"/>
                <w:szCs w:val="18"/>
                <w:lang w:val="en-GB"/>
              </w:rPr>
              <w:t xml:space="preserve"> and lumbar lordosis. </w:t>
            </w:r>
          </w:p>
        </w:tc>
      </w:tr>
      <w:tr w:rsidR="008B78A4" w:rsidRPr="00E87142" w14:paraId="5BE5384C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487D39B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Song et al. (a) 2012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9CDC903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Korea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6A53A8E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cohort study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BC4117C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BDF88DA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8.2 </w:t>
            </w:r>
            <w:r w:rsidRPr="00E87142">
              <w:rPr>
                <w:sz w:val="16"/>
                <w:szCs w:val="16"/>
                <w:lang w:val="en-GB"/>
              </w:rPr>
              <w:t>(Treatment)</w:t>
            </w:r>
            <w:r w:rsidRPr="00E87142">
              <w:rPr>
                <w:sz w:val="18"/>
                <w:szCs w:val="18"/>
                <w:lang w:val="en-GB"/>
              </w:rPr>
              <w:t xml:space="preserve"> 8.5 </w:t>
            </w:r>
            <w:r w:rsidRPr="00E87142">
              <w:rPr>
                <w:sz w:val="18"/>
                <w:szCs w:val="18"/>
                <w:lang w:val="en-GB"/>
              </w:rPr>
              <w:br/>
            </w:r>
            <w:r w:rsidRPr="00E87142">
              <w:rPr>
                <w:sz w:val="16"/>
                <w:szCs w:val="16"/>
                <w:lang w:val="en-GB"/>
              </w:rPr>
              <w:t>(Control)</w:t>
            </w:r>
            <w:r w:rsidRPr="00E87142">
              <w:rPr>
                <w:sz w:val="18"/>
                <w:szCs w:val="18"/>
                <w:lang w:val="en-GB"/>
              </w:rPr>
              <w:t xml:space="preserve"> 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23)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99205FC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1FC78E1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Bilateral tibial lengthening with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monofocal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proximal tibial osteotomy and the use of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Ilizarov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rings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4DB60B88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Total length of the tibia, a</w:t>
            </w:r>
            <w:r w:rsidRPr="00E87142">
              <w:rPr>
                <w:sz w:val="18"/>
                <w:szCs w:val="18"/>
                <w:lang w:val="en-GB" w:eastAsia="es-ES_tradnl"/>
              </w:rPr>
              <w:t>ctual length of the tibia (without distraction)</w:t>
            </w:r>
            <w:r w:rsidRPr="00E87142">
              <w:rPr>
                <w:sz w:val="18"/>
                <w:szCs w:val="18"/>
                <w:lang w:val="en-GB"/>
              </w:rPr>
              <w:t xml:space="preserve">, amount of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physeal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growth, growth rate and percentage growth. </w:t>
            </w:r>
          </w:p>
        </w:tc>
      </w:tr>
      <w:tr w:rsidR="008B78A4" w:rsidRPr="00E87142" w14:paraId="51A64F1D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3ADAEEE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Song et al. (b) 2012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91C827B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Korea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5C66DFF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cohort study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87683C9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5AAA00A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8.2 </w:t>
            </w:r>
            <w:r w:rsidRPr="00E87142">
              <w:rPr>
                <w:sz w:val="16"/>
                <w:szCs w:val="16"/>
                <w:lang w:val="en-GB"/>
              </w:rPr>
              <w:t>(Treatment)</w:t>
            </w:r>
            <w:r w:rsidRPr="00E87142">
              <w:rPr>
                <w:sz w:val="18"/>
                <w:szCs w:val="18"/>
                <w:lang w:val="en-GB"/>
              </w:rPr>
              <w:t xml:space="preserve"> 8.5 </w:t>
            </w:r>
            <w:r w:rsidRPr="00E87142">
              <w:rPr>
                <w:sz w:val="18"/>
                <w:szCs w:val="18"/>
                <w:lang w:val="en-GB"/>
              </w:rPr>
              <w:br/>
            </w:r>
            <w:r w:rsidRPr="00E87142">
              <w:rPr>
                <w:sz w:val="16"/>
                <w:szCs w:val="16"/>
                <w:lang w:val="en-GB"/>
              </w:rPr>
              <w:t>(Control)</w:t>
            </w:r>
            <w:r w:rsidRPr="00E87142">
              <w:rPr>
                <w:sz w:val="18"/>
                <w:szCs w:val="18"/>
                <w:lang w:val="en-GB"/>
              </w:rPr>
              <w:t xml:space="preserve"> 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35)</w:t>
            </w:r>
          </w:p>
          <w:p w14:paraId="2DCAA0BC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18524F0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BE6E074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Bilateral tibial lengthening by mono-focal proximal tibial osteotomy and the use of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Ilizarov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rights: with or without sequential femoral lengthening using mid-diaphyseal osteotomy and the use of a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monolateral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external fixator 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633DB71A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Total length (mean total lengths of lower limbs), actual length of the lower limb, growth rate, percentage growth and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physeal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score. </w:t>
            </w:r>
          </w:p>
        </w:tc>
      </w:tr>
      <w:tr w:rsidR="008B78A4" w:rsidRPr="00E87142" w14:paraId="238BEEA4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435F03C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Stamoyannou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et al. 1997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44E32CB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6FF7F78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Clinical Study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2CA03C0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AFE9878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9.6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15)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42C0484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Pharmacological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7B61C63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Growth hormone therapy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606BD309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Height SDS, height velocity, sitting height and bone age to chronological age. </w:t>
            </w:r>
          </w:p>
        </w:tc>
      </w:tr>
      <w:tr w:rsidR="008B78A4" w:rsidRPr="00E87142" w14:paraId="245D4E9D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A4ED268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Tanaka et al. 1998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CEACEE6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Japan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71035B4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Clinical Study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3E926A9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27D0D4A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-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42)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273BF4E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Pharmacological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D7ECAA2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Growth hormone therapy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143084A4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Hypothalamic pituitary function (TSH response to TRH stimulus, and cortisol response to insulin-induced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hypoglycemia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), analysis of genomic DNA by restriction digest, mean Z-scores for height, height velocity, annual height gain, arm span to height ratio, lower limb length to height and sitting height. </w:t>
            </w:r>
          </w:p>
        </w:tc>
      </w:tr>
      <w:tr w:rsidR="008B78A4" w:rsidRPr="00E87142" w14:paraId="160401B7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A9D9801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Tanaka et al. 2003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ADD3653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Japan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37A17CC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Clinical Study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DEFBA83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  <w:r w:rsidRPr="00E87142">
              <w:rPr>
                <w:color w:val="141413"/>
                <w:sz w:val="18"/>
                <w:szCs w:val="18"/>
                <w:lang w:val="en-GB"/>
              </w:rPr>
              <w:t>, HCH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0D2FF6C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7.1 </w:t>
            </w:r>
            <w:r w:rsidRPr="00E87142">
              <w:rPr>
                <w:sz w:val="18"/>
                <w:szCs w:val="18"/>
                <w:lang w:val="en-GB"/>
              </w:rPr>
              <w:br/>
            </w:r>
            <w:r w:rsidRPr="00E87142">
              <w:rPr>
                <w:sz w:val="16"/>
                <w:szCs w:val="16"/>
                <w:lang w:val="en-GB"/>
              </w:rPr>
              <w:t>(ACH)</w:t>
            </w:r>
            <w:r w:rsidRPr="00E87142">
              <w:rPr>
                <w:sz w:val="18"/>
                <w:szCs w:val="18"/>
                <w:lang w:val="en-GB"/>
              </w:rPr>
              <w:br/>
              <w:t>4.9</w:t>
            </w:r>
            <w:r w:rsidRPr="00E87142">
              <w:rPr>
                <w:sz w:val="18"/>
                <w:szCs w:val="18"/>
                <w:lang w:val="en-GB"/>
              </w:rPr>
              <w:br/>
            </w:r>
            <w:r w:rsidRPr="00E87142">
              <w:rPr>
                <w:sz w:val="16"/>
                <w:szCs w:val="16"/>
                <w:lang w:val="en-GB"/>
              </w:rPr>
              <w:t>(HCH)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15)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99D7ED1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Pharmacological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A16F4B0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Growth hormone therapy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0DB5E44C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Height (cm/year &amp; SDS), height velocity (cm/year &amp; SDS), bone age, bone mineral density (bone age &amp; chronological age), IGF-I SDS. </w:t>
            </w:r>
          </w:p>
        </w:tc>
      </w:tr>
      <w:tr w:rsidR="008B78A4" w:rsidRPr="00E87142" w14:paraId="67F76A41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2C2959C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Thomeer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et al. 2002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DF24A20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The Netherlands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312A045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cohort study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C9B273E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73D6DDC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39.6 *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36)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AAC76E6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55A3791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sz w:val="18"/>
                <w:szCs w:val="18"/>
                <w:lang w:val="en-GB"/>
              </w:rPr>
              <w:t>Interapophyseolaminar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Decompression 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71125944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Level of decompression, symptom relief and complications. </w:t>
            </w:r>
          </w:p>
        </w:tc>
      </w:tr>
      <w:tr w:rsidR="008B78A4" w:rsidRPr="00E87142" w14:paraId="77300ECD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9B436D4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lastRenderedPageBreak/>
              <w:t>Trigui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et al. 2008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1A8161E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8655218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case series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20B2A5B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SED Congenita,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Kniest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, MED, SEMD, Metaphyseal dysplasia, 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MCDS</w:t>
            </w:r>
            <w:r w:rsidRPr="00E87142">
              <w:rPr>
                <w:sz w:val="18"/>
                <w:szCs w:val="18"/>
                <w:lang w:val="en-GB"/>
              </w:rPr>
              <w:t>, CCD, SMD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1648B0D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6.9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19)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93728BA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422181F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Femoral valgus,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derotation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osteotomy; Femoral valgus, extension,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derotation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osteotomy; Femoral valgus, extension osteotomy; Femoral valgus osteotomy; with or without Pelvic extension osteotomy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4B041896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sz w:val="18"/>
                <w:szCs w:val="18"/>
                <w:lang w:val="en-GB"/>
              </w:rPr>
              <w:t>Hilgenreiner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trochanteric angle, recurrence of coxa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vara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, symptoms of pain and stiffness. </w:t>
            </w:r>
          </w:p>
        </w:tc>
      </w:tr>
      <w:tr w:rsidR="008B78A4" w:rsidRPr="00E87142" w14:paraId="177F609B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9B4C649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Trivella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et al. 1991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727A313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Italy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6A817D2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case series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9A6C04F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D2C7B8D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14.5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33)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E8CBCCB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8339927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sz w:val="18"/>
                <w:szCs w:val="18"/>
                <w:lang w:val="en-GB"/>
              </w:rPr>
              <w:t>Chondrodiatasis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(distraction of the epiphyseal plate) and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callotasis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(osteotomy)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2E874C1A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Discusses: Sub-ischial leg length (SILL)/sitting height ratio, height, sitting height, and SILL, lower limbs (plantarflexion, inversion), lumbar lordosis and flexional mobility. </w:t>
            </w:r>
          </w:p>
        </w:tc>
      </w:tr>
      <w:tr w:rsidR="008B78A4" w:rsidRPr="00E87142" w14:paraId="23C037FC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CA9E803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Vaidya et al. 2006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D367C6D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Korea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E504A6C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case series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943EF92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E4A81D0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12.9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=24)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B62F73C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EB37723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Bifocal tibial osteotomy using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Ilizarov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ring fixator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05EE585A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Total tibial lengthening, lengthening at upper tibial osteotomy site, lengthening at lower tibial osteotomy site, healing index, complications,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equinus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contracture,</w:t>
            </w:r>
            <w:r w:rsidRPr="00E87142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E87142">
              <w:rPr>
                <w:sz w:val="18"/>
                <w:szCs w:val="18"/>
                <w:lang w:val="en-GB"/>
              </w:rPr>
              <w:t xml:space="preserve">medial proximal tibial angle, lateral distal tibial angle, mechanical axis deviation, lateral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roximal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femoral angle, mechanical lateral distal femoral angle, and joint line convergence angle at the knee joint.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Tibiocalcaneal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angle, posterior proximal tibial angle, anterior distal tibial angle, and posterior distal femoral angle, and tibial torsion. </w:t>
            </w:r>
          </w:p>
        </w:tc>
      </w:tr>
      <w:tr w:rsidR="008B78A4" w:rsidRPr="00E87142" w14:paraId="383FDD61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030765F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Vleggeert-Lankamp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et al. 2012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E39DA59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The Netherlands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C7A7F3F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case series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270518D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9F57ADF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51.2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20)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9777F07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850E3FF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Laminectomy and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interapophyseolaminar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decrompression</w:t>
            </w:r>
            <w:proofErr w:type="spellEnd"/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724766CE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Symptoms (pre- &amp; post-op), Cooper myelopathy score,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mJOA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Scale,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Nurick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Scale, Odom Scale, Thoracolumbar Kyphosis, interpedicular distance, anteroposterior distance. </w:t>
            </w:r>
          </w:p>
        </w:tc>
      </w:tr>
      <w:tr w:rsidR="008B78A4" w:rsidRPr="00E87142" w14:paraId="26DB990A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51CA57D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Weiner et al. 2019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7055852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USA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31A0632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cohort study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86CA625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B2ECE8D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6.1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27)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4DB6F3D4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EB4E88C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Planned fibular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nonunion</w:t>
            </w:r>
            <w:proofErr w:type="spellEnd"/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7D4A4F92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Anatomic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tibio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-femoral angle, tibia- fibula ratio, anatomic lateral distal femoral angle, lateral distal tibial angle, medial proximal tibial angle, mechanical axis zone, and tibia varus. Number of surgeries, surgical plumb-line category and complications. </w:t>
            </w:r>
          </w:p>
        </w:tc>
      </w:tr>
      <w:tr w:rsidR="008B78A4" w:rsidRPr="00E87142" w14:paraId="71D48B2C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18AD7FE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lastRenderedPageBreak/>
              <w:t>Wyles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et al. 2019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68D106D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USA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CBC07AD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case series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47F6F22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SED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37D74BC9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39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29)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9832F17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8B273BA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Total hip arthroplasty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110E6F67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Types of surgery, implant survival, revision surgery, pain, Harris Hip Score, and gait aids.</w:t>
            </w:r>
          </w:p>
        </w:tc>
      </w:tr>
      <w:tr w:rsidR="008B78A4" w:rsidRPr="00E87142" w14:paraId="130E2A82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01EBFF24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Yamate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et al. 1993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5A7A7C6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Japan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BDC2A68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Clinical study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853893B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ACH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7C49823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6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22)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C0D72A5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Pharmacological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AF40E6B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Growth hormone therapy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6FD9D6B1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Annual height gain, height velocity, growth curve, GH response to provocative tests, IGF-I </w:t>
            </w:r>
            <w:proofErr w:type="gramStart"/>
            <w:r w:rsidRPr="00E87142">
              <w:rPr>
                <w:sz w:val="18"/>
                <w:szCs w:val="18"/>
                <w:lang w:val="en-GB"/>
              </w:rPr>
              <w:t>level</w:t>
            </w:r>
            <w:proofErr w:type="gramEnd"/>
            <w:r w:rsidRPr="00E87142">
              <w:rPr>
                <w:sz w:val="18"/>
                <w:szCs w:val="18"/>
                <w:lang w:val="en-GB"/>
              </w:rPr>
              <w:t xml:space="preserve">, months development of patients (head control, sitting down, walking, speech). </w:t>
            </w:r>
          </w:p>
        </w:tc>
      </w:tr>
      <w:tr w:rsidR="008B78A4" w:rsidRPr="00E87142" w14:paraId="2D8579AE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181676A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Yilmaz et al. 2014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C690B18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USA &amp; Croatia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64DBA3C2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case series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5926360C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sz w:val="18"/>
                <w:szCs w:val="18"/>
                <w:lang w:val="en-GB"/>
              </w:rPr>
              <w:t>Morquio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, MED, SED, SEMD,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PAch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Kniest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, Metaphyseal dysplasia, SMD, Ellis-van Creveld syndrome, 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MCDS</w:t>
            </w:r>
            <w:r w:rsidRPr="00E87142">
              <w:rPr>
                <w:sz w:val="18"/>
                <w:szCs w:val="18"/>
                <w:lang w:val="en-GB"/>
              </w:rPr>
              <w:t>, Stickler syndrome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29F44BC5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10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29)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1C0B7D24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  <w:right w:val="single" w:sz="4" w:space="0" w:color="48BAD1" w:themeColor="background2" w:themeShade="BF"/>
            </w:tcBorders>
          </w:tcPr>
          <w:p w14:paraId="7FCC86DF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Guided growth: Temporary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hemiepiphysiodesis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using eight-plates and medial malleolus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transphyseal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 xml:space="preserve"> screws.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48BAD1" w:themeColor="background2" w:themeShade="BF"/>
            </w:tcBorders>
          </w:tcPr>
          <w:p w14:paraId="645F0D13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Mechanical axis deviation, mechanical lateral distal femoral angle, lateral distal tibial angle, medial proximal tibial angle.</w:t>
            </w:r>
          </w:p>
        </w:tc>
      </w:tr>
      <w:tr w:rsidR="008B78A4" w:rsidRPr="00E87142" w14:paraId="5840CB1F" w14:textId="77777777" w:rsidTr="00610972">
        <w:trPr>
          <w:cantSplit/>
        </w:trPr>
        <w:tc>
          <w:tcPr>
            <w:tcW w:w="504" w:type="pct"/>
            <w:tcBorders>
              <w:top w:val="single" w:sz="4" w:space="0" w:color="48BAD1" w:themeColor="background2" w:themeShade="BF"/>
              <w:bottom w:val="single" w:sz="4" w:space="0" w:color="000000" w:themeColor="text1"/>
              <w:right w:val="single" w:sz="4" w:space="0" w:color="48BAD1" w:themeColor="background2" w:themeShade="BF"/>
            </w:tcBorders>
          </w:tcPr>
          <w:p w14:paraId="7499D1A3" w14:textId="77777777" w:rsidR="008B78A4" w:rsidRPr="00E87142" w:rsidRDefault="008B78A4" w:rsidP="00610972">
            <w:pPr>
              <w:ind w:left="30"/>
              <w:rPr>
                <w:sz w:val="18"/>
                <w:szCs w:val="18"/>
                <w:lang w:val="en-GB"/>
              </w:rPr>
            </w:pPr>
            <w:proofErr w:type="spellStart"/>
            <w:r w:rsidRPr="00E87142">
              <w:rPr>
                <w:color w:val="000000"/>
                <w:sz w:val="18"/>
                <w:szCs w:val="18"/>
                <w:lang w:val="en-GB"/>
              </w:rPr>
              <w:t>Zambito</w:t>
            </w:r>
            <w:proofErr w:type="spellEnd"/>
            <w:r w:rsidRPr="00E87142">
              <w:rPr>
                <w:color w:val="000000"/>
                <w:sz w:val="18"/>
                <w:szCs w:val="18"/>
                <w:lang w:val="en-GB"/>
              </w:rPr>
              <w:t xml:space="preserve"> et al. 2000</w:t>
            </w:r>
          </w:p>
        </w:tc>
        <w:tc>
          <w:tcPr>
            <w:tcW w:w="350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000000" w:themeColor="text1"/>
              <w:right w:val="single" w:sz="4" w:space="0" w:color="48BAD1" w:themeColor="background2" w:themeShade="BF"/>
            </w:tcBorders>
          </w:tcPr>
          <w:p w14:paraId="4C0C5AB7" w14:textId="77777777" w:rsidR="008B78A4" w:rsidRPr="00E87142" w:rsidRDefault="008B78A4" w:rsidP="00610972">
            <w:pPr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color w:val="000000"/>
                <w:sz w:val="18"/>
                <w:szCs w:val="18"/>
                <w:lang w:val="en-GB"/>
              </w:rPr>
              <w:t>Italy</w:t>
            </w:r>
          </w:p>
        </w:tc>
        <w:tc>
          <w:tcPr>
            <w:tcW w:w="5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000000" w:themeColor="text1"/>
              <w:right w:val="single" w:sz="4" w:space="0" w:color="48BAD1" w:themeColor="background2" w:themeShade="BF"/>
            </w:tcBorders>
          </w:tcPr>
          <w:p w14:paraId="11010C1B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Retrospective cohort study</w:t>
            </w:r>
          </w:p>
        </w:tc>
        <w:tc>
          <w:tcPr>
            <w:tcW w:w="65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000000" w:themeColor="text1"/>
              <w:right w:val="single" w:sz="4" w:space="0" w:color="48BAD1" w:themeColor="background2" w:themeShade="BF"/>
            </w:tcBorders>
          </w:tcPr>
          <w:p w14:paraId="703A1151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ACH, </w:t>
            </w:r>
            <w:r w:rsidRPr="00E87142">
              <w:rPr>
                <w:color w:val="141413"/>
                <w:sz w:val="18"/>
                <w:szCs w:val="18"/>
                <w:lang w:val="en-GB"/>
              </w:rPr>
              <w:t>HCH, TS, ISS</w:t>
            </w:r>
          </w:p>
        </w:tc>
        <w:tc>
          <w:tcPr>
            <w:tcW w:w="40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000000" w:themeColor="text1"/>
              <w:right w:val="single" w:sz="4" w:space="0" w:color="48BAD1" w:themeColor="background2" w:themeShade="BF"/>
            </w:tcBorders>
          </w:tcPr>
          <w:p w14:paraId="7EB74263" w14:textId="77777777" w:rsidR="008B78A4" w:rsidRPr="00E87142" w:rsidRDefault="008B78A4" w:rsidP="00610972">
            <w:pPr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^</w:t>
            </w:r>
            <w:r w:rsidRPr="00E87142">
              <w:rPr>
                <w:sz w:val="18"/>
                <w:szCs w:val="18"/>
                <w:lang w:val="en-GB"/>
              </w:rPr>
              <w:br/>
              <w:t>(</w:t>
            </w:r>
            <w:r w:rsidRPr="00E87142">
              <w:rPr>
                <w:i/>
                <w:iCs/>
                <w:sz w:val="18"/>
                <w:szCs w:val="18"/>
                <w:lang w:val="en-GB"/>
              </w:rPr>
              <w:t>N</w:t>
            </w:r>
            <w:r w:rsidRPr="00E87142">
              <w:rPr>
                <w:sz w:val="18"/>
                <w:szCs w:val="18"/>
                <w:lang w:val="en-GB"/>
              </w:rPr>
              <w:t xml:space="preserve"> = 50)</w:t>
            </w:r>
          </w:p>
        </w:tc>
        <w:tc>
          <w:tcPr>
            <w:tcW w:w="549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000000" w:themeColor="text1"/>
              <w:right w:val="single" w:sz="4" w:space="0" w:color="48BAD1" w:themeColor="background2" w:themeShade="BF"/>
            </w:tcBorders>
          </w:tcPr>
          <w:p w14:paraId="577ADACE" w14:textId="77777777" w:rsidR="008B78A4" w:rsidRPr="00E87142" w:rsidRDefault="008B78A4" w:rsidP="00610972">
            <w:pPr>
              <w:spacing w:after="120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Surgical and rehabilitative</w:t>
            </w:r>
          </w:p>
        </w:tc>
        <w:tc>
          <w:tcPr>
            <w:tcW w:w="923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000000" w:themeColor="text1"/>
              <w:right w:val="single" w:sz="4" w:space="0" w:color="48BAD1" w:themeColor="background2" w:themeShade="BF"/>
            </w:tcBorders>
          </w:tcPr>
          <w:p w14:paraId="1F290102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 xml:space="preserve">Tenotomy of the Achilles tendon and plaster cast; Telescopic fixator, fasciotomy of the fascia </w:t>
            </w:r>
            <w:proofErr w:type="spellStart"/>
            <w:r w:rsidRPr="00E87142">
              <w:rPr>
                <w:sz w:val="18"/>
                <w:szCs w:val="18"/>
                <w:lang w:val="en-GB"/>
              </w:rPr>
              <w:t>lata</w:t>
            </w:r>
            <w:proofErr w:type="spellEnd"/>
            <w:r w:rsidRPr="00E87142">
              <w:rPr>
                <w:sz w:val="18"/>
                <w:szCs w:val="18"/>
                <w:lang w:val="en-GB"/>
              </w:rPr>
              <w:t>, a tenotomy of the Achilles tendon and plaster cast and rehabilitative program</w:t>
            </w:r>
          </w:p>
        </w:tc>
        <w:tc>
          <w:tcPr>
            <w:tcW w:w="1071" w:type="pct"/>
            <w:tcBorders>
              <w:top w:val="single" w:sz="4" w:space="0" w:color="48BAD1" w:themeColor="background2" w:themeShade="BF"/>
              <w:left w:val="single" w:sz="4" w:space="0" w:color="48BAD1" w:themeColor="background2" w:themeShade="BF"/>
              <w:bottom w:val="single" w:sz="4" w:space="0" w:color="000000" w:themeColor="text1"/>
            </w:tcBorders>
          </w:tcPr>
          <w:p w14:paraId="031859FC" w14:textId="77777777" w:rsidR="008B78A4" w:rsidRPr="00E87142" w:rsidRDefault="008B78A4" w:rsidP="00610972">
            <w:pPr>
              <w:spacing w:after="120"/>
              <w:jc w:val="both"/>
              <w:rPr>
                <w:sz w:val="18"/>
                <w:szCs w:val="18"/>
                <w:lang w:val="en-GB"/>
              </w:rPr>
            </w:pPr>
            <w:r w:rsidRPr="00E87142">
              <w:rPr>
                <w:sz w:val="18"/>
                <w:szCs w:val="18"/>
                <w:lang w:val="en-GB"/>
              </w:rPr>
              <w:t>Range of movement, lengthening (cm, %), time of functional recovery, measurement of joint motion, muscle testing, analysis of gait.</w:t>
            </w:r>
          </w:p>
        </w:tc>
      </w:tr>
    </w:tbl>
    <w:bookmarkEnd w:id="0"/>
    <w:p w14:paraId="48BD5568" w14:textId="77777777" w:rsidR="008B78A4" w:rsidRPr="00E87142" w:rsidRDefault="008B78A4" w:rsidP="008B78A4">
      <w:pPr>
        <w:rPr>
          <w:sz w:val="20"/>
          <w:szCs w:val="20"/>
          <w:lang w:val="en-GB"/>
        </w:rPr>
      </w:pPr>
      <w:r w:rsidRPr="00E87142">
        <w:rPr>
          <w:sz w:val="20"/>
          <w:szCs w:val="20"/>
          <w:lang w:val="en-GB"/>
        </w:rPr>
        <w:t xml:space="preserve">^ An overall age for the observations was not provided, instead the average age was provided for the respective condition groups. </w:t>
      </w:r>
      <w:r w:rsidRPr="00E87142">
        <w:rPr>
          <w:sz w:val="20"/>
          <w:szCs w:val="20"/>
          <w:lang w:val="en-GB"/>
        </w:rPr>
        <w:br/>
        <w:t>* Average age at first surgery</w:t>
      </w:r>
    </w:p>
    <w:p w14:paraId="22824BE7" w14:textId="77777777" w:rsidR="008B78A4" w:rsidRPr="00E87142" w:rsidRDefault="008B78A4" w:rsidP="008B78A4">
      <w:pPr>
        <w:rPr>
          <w:sz w:val="20"/>
          <w:szCs w:val="20"/>
          <w:lang w:val="en-GB"/>
        </w:rPr>
      </w:pPr>
      <w:r w:rsidRPr="00E87142">
        <w:rPr>
          <w:i/>
          <w:iCs/>
          <w:sz w:val="20"/>
          <w:szCs w:val="20"/>
          <w:lang w:val="en-GB"/>
        </w:rPr>
        <w:t>Notes</w:t>
      </w:r>
      <w:r w:rsidRPr="00E87142">
        <w:rPr>
          <w:sz w:val="20"/>
          <w:szCs w:val="20"/>
          <w:lang w:val="en-GB"/>
        </w:rPr>
        <w:t xml:space="preserve">: ACH (achondroplasia), CCD (cleidocranial dysplasia), HCH (hypochondroplasia), ISS (idiopathic short stature), </w:t>
      </w:r>
      <w:proofErr w:type="spellStart"/>
      <w:r w:rsidRPr="00E87142">
        <w:rPr>
          <w:sz w:val="20"/>
          <w:szCs w:val="20"/>
          <w:lang w:val="en-GB"/>
        </w:rPr>
        <w:t>Kniest</w:t>
      </w:r>
      <w:proofErr w:type="spellEnd"/>
      <w:r w:rsidRPr="00E87142">
        <w:rPr>
          <w:sz w:val="20"/>
          <w:szCs w:val="20"/>
          <w:lang w:val="en-GB"/>
        </w:rPr>
        <w:t xml:space="preserve"> (</w:t>
      </w:r>
      <w:proofErr w:type="spellStart"/>
      <w:r w:rsidRPr="00E87142">
        <w:rPr>
          <w:sz w:val="20"/>
          <w:szCs w:val="20"/>
          <w:lang w:val="en-GB"/>
        </w:rPr>
        <w:t>Kniest</w:t>
      </w:r>
      <w:proofErr w:type="spellEnd"/>
      <w:r w:rsidRPr="00E87142">
        <w:rPr>
          <w:sz w:val="20"/>
          <w:szCs w:val="20"/>
          <w:lang w:val="en-GB"/>
        </w:rPr>
        <w:t xml:space="preserve"> syndrome), LWS (Leri Weill syndrome), MED (multiple epiphyseal dysplasia), </w:t>
      </w:r>
      <w:proofErr w:type="spellStart"/>
      <w:r w:rsidRPr="00E87142">
        <w:rPr>
          <w:sz w:val="20"/>
          <w:szCs w:val="20"/>
          <w:lang w:val="en-GB"/>
        </w:rPr>
        <w:t>Morquio</w:t>
      </w:r>
      <w:proofErr w:type="spellEnd"/>
      <w:r w:rsidRPr="00E87142">
        <w:rPr>
          <w:sz w:val="20"/>
          <w:szCs w:val="20"/>
          <w:lang w:val="en-GB"/>
        </w:rPr>
        <w:t xml:space="preserve"> (</w:t>
      </w:r>
      <w:proofErr w:type="spellStart"/>
      <w:r w:rsidRPr="00E87142">
        <w:rPr>
          <w:sz w:val="20"/>
          <w:szCs w:val="20"/>
          <w:lang w:val="en-GB"/>
        </w:rPr>
        <w:t>Morquio</w:t>
      </w:r>
      <w:proofErr w:type="spellEnd"/>
      <w:r w:rsidRPr="00E87142">
        <w:rPr>
          <w:sz w:val="20"/>
          <w:szCs w:val="20"/>
          <w:lang w:val="en-GB"/>
        </w:rPr>
        <w:t xml:space="preserve"> syndrome), </w:t>
      </w:r>
      <w:proofErr w:type="spellStart"/>
      <w:r w:rsidRPr="00E87142">
        <w:rPr>
          <w:sz w:val="20"/>
          <w:szCs w:val="20"/>
          <w:lang w:val="en-GB"/>
        </w:rPr>
        <w:t>PAch</w:t>
      </w:r>
      <w:proofErr w:type="spellEnd"/>
      <w:r w:rsidRPr="00E87142">
        <w:rPr>
          <w:sz w:val="20"/>
          <w:szCs w:val="20"/>
          <w:lang w:val="en-GB"/>
        </w:rPr>
        <w:t xml:space="preserve"> (</w:t>
      </w:r>
      <w:proofErr w:type="spellStart"/>
      <w:r w:rsidRPr="00E87142">
        <w:rPr>
          <w:sz w:val="20"/>
          <w:szCs w:val="20"/>
          <w:lang w:val="en-GB"/>
        </w:rPr>
        <w:t>pseudoachondroplasia</w:t>
      </w:r>
      <w:proofErr w:type="spellEnd"/>
      <w:r w:rsidRPr="00E87142">
        <w:rPr>
          <w:sz w:val="20"/>
          <w:szCs w:val="20"/>
          <w:lang w:val="en-GB"/>
        </w:rPr>
        <w:t>), SED (spondyloepiphyseal dysplasia), SEMD (</w:t>
      </w:r>
      <w:proofErr w:type="spellStart"/>
      <w:r w:rsidRPr="00E87142">
        <w:rPr>
          <w:sz w:val="20"/>
          <w:szCs w:val="20"/>
          <w:lang w:val="en-GB"/>
        </w:rPr>
        <w:t>spondyloepimetaphyseal</w:t>
      </w:r>
      <w:proofErr w:type="spellEnd"/>
      <w:r w:rsidRPr="00E87142">
        <w:rPr>
          <w:sz w:val="20"/>
          <w:szCs w:val="20"/>
          <w:lang w:val="en-GB"/>
        </w:rPr>
        <w:t xml:space="preserve"> dysplasia), SMD (</w:t>
      </w:r>
      <w:proofErr w:type="spellStart"/>
      <w:r w:rsidRPr="00E87142">
        <w:rPr>
          <w:sz w:val="20"/>
          <w:szCs w:val="20"/>
          <w:lang w:val="en-GB"/>
        </w:rPr>
        <w:t>spondylometaphyseal</w:t>
      </w:r>
      <w:proofErr w:type="spellEnd"/>
      <w:r w:rsidRPr="00E87142">
        <w:rPr>
          <w:sz w:val="20"/>
          <w:szCs w:val="20"/>
          <w:lang w:val="en-GB"/>
        </w:rPr>
        <w:t xml:space="preserve"> dysplasia), TS (Turner syndrome) </w:t>
      </w:r>
    </w:p>
    <w:p w14:paraId="7BA69D94" w14:textId="77777777" w:rsidR="008B78A4" w:rsidRPr="00E87142" w:rsidRDefault="008B78A4" w:rsidP="008B78A4">
      <w:pPr>
        <w:spacing w:line="360" w:lineRule="auto"/>
        <w:jc w:val="both"/>
        <w:rPr>
          <w:b/>
          <w:color w:val="000000" w:themeColor="text1"/>
          <w:lang w:val="en-GB"/>
        </w:rPr>
      </w:pPr>
    </w:p>
    <w:p w14:paraId="41F82D9A" w14:textId="77777777" w:rsidR="008B78A4" w:rsidRDefault="008B78A4" w:rsidP="008B78A4"/>
    <w:p w14:paraId="02F912B4" w14:textId="77777777" w:rsidR="008D3BAE" w:rsidRDefault="002638B1"/>
    <w:sectPr w:rsidR="008D3BAE" w:rsidSect="00963BC8">
      <w:footerReference w:type="even" r:id="rId6"/>
      <w:footerReference w:type="default" r:id="rId7"/>
      <w:pgSz w:w="16840" w:h="11900" w:orient="landscape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A2BD" w14:textId="77777777" w:rsidR="002638B1" w:rsidRDefault="002638B1">
      <w:r>
        <w:separator/>
      </w:r>
    </w:p>
  </w:endnote>
  <w:endnote w:type="continuationSeparator" w:id="0">
    <w:p w14:paraId="542C840B" w14:textId="77777777" w:rsidR="002638B1" w:rsidRDefault="0026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379294"/>
      <w:docPartObj>
        <w:docPartGallery w:val="Page Numbers (Bottom of Page)"/>
        <w:docPartUnique/>
      </w:docPartObj>
    </w:sdtPr>
    <w:sdtEndPr/>
    <w:sdtContent>
      <w:p w14:paraId="64F8D900" w14:textId="77777777" w:rsidR="008D0C62" w:rsidRDefault="008B78A4" w:rsidP="00106F90">
        <w:pPr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39A9B8E1" w14:textId="77777777" w:rsidR="008D0C62" w:rsidRDefault="002638B1" w:rsidP="0019576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196276"/>
      <w:docPartObj>
        <w:docPartGallery w:val="Page Numbers (Bottom of Page)"/>
        <w:docPartUnique/>
      </w:docPartObj>
    </w:sdtPr>
    <w:sdtEndPr/>
    <w:sdtContent>
      <w:p w14:paraId="4067FC08" w14:textId="77777777" w:rsidR="008D0C62" w:rsidRDefault="008B78A4" w:rsidP="00106F90">
        <w:pPr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703C98F8" w14:textId="77777777" w:rsidR="008D0C62" w:rsidRDefault="002638B1" w:rsidP="0019576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17FF" w14:textId="77777777" w:rsidR="002638B1" w:rsidRDefault="002638B1">
      <w:r>
        <w:separator/>
      </w:r>
    </w:p>
  </w:footnote>
  <w:footnote w:type="continuationSeparator" w:id="0">
    <w:p w14:paraId="5F7ACD5E" w14:textId="77777777" w:rsidR="002638B1" w:rsidRDefault="00263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A4"/>
    <w:rsid w:val="00006428"/>
    <w:rsid w:val="00025454"/>
    <w:rsid w:val="00026065"/>
    <w:rsid w:val="0004356A"/>
    <w:rsid w:val="000612A7"/>
    <w:rsid w:val="00081E62"/>
    <w:rsid w:val="000827C3"/>
    <w:rsid w:val="00092615"/>
    <w:rsid w:val="00096306"/>
    <w:rsid w:val="000C5ACB"/>
    <w:rsid w:val="000D6C5B"/>
    <w:rsid w:val="000E7667"/>
    <w:rsid w:val="00134425"/>
    <w:rsid w:val="00144A2B"/>
    <w:rsid w:val="0015601D"/>
    <w:rsid w:val="00164334"/>
    <w:rsid w:val="0016521F"/>
    <w:rsid w:val="00170277"/>
    <w:rsid w:val="00176043"/>
    <w:rsid w:val="001B175E"/>
    <w:rsid w:val="001B5443"/>
    <w:rsid w:val="001D3D17"/>
    <w:rsid w:val="001D3E9C"/>
    <w:rsid w:val="001E66B9"/>
    <w:rsid w:val="00217AC8"/>
    <w:rsid w:val="0022677B"/>
    <w:rsid w:val="00245A57"/>
    <w:rsid w:val="00253516"/>
    <w:rsid w:val="00255E21"/>
    <w:rsid w:val="00261356"/>
    <w:rsid w:val="002638B1"/>
    <w:rsid w:val="00270354"/>
    <w:rsid w:val="00275352"/>
    <w:rsid w:val="0029569A"/>
    <w:rsid w:val="002A40ED"/>
    <w:rsid w:val="002B114C"/>
    <w:rsid w:val="002D2A23"/>
    <w:rsid w:val="002E139F"/>
    <w:rsid w:val="002E2F5B"/>
    <w:rsid w:val="002F28B0"/>
    <w:rsid w:val="002F54E0"/>
    <w:rsid w:val="00331185"/>
    <w:rsid w:val="00336B19"/>
    <w:rsid w:val="003400F9"/>
    <w:rsid w:val="00341320"/>
    <w:rsid w:val="00364C7A"/>
    <w:rsid w:val="00370DF0"/>
    <w:rsid w:val="00370FBD"/>
    <w:rsid w:val="003A0F20"/>
    <w:rsid w:val="003A18E8"/>
    <w:rsid w:val="003A6D12"/>
    <w:rsid w:val="003B797A"/>
    <w:rsid w:val="003D06AB"/>
    <w:rsid w:val="003D64B8"/>
    <w:rsid w:val="003E69B0"/>
    <w:rsid w:val="00401516"/>
    <w:rsid w:val="00414CA0"/>
    <w:rsid w:val="00416BFD"/>
    <w:rsid w:val="0045264D"/>
    <w:rsid w:val="00462F71"/>
    <w:rsid w:val="00466398"/>
    <w:rsid w:val="00467D3A"/>
    <w:rsid w:val="004715E5"/>
    <w:rsid w:val="0049445C"/>
    <w:rsid w:val="004948C0"/>
    <w:rsid w:val="00496D4B"/>
    <w:rsid w:val="004A5BD6"/>
    <w:rsid w:val="004B1B0E"/>
    <w:rsid w:val="004B6174"/>
    <w:rsid w:val="004C7B15"/>
    <w:rsid w:val="004C7E24"/>
    <w:rsid w:val="004F766F"/>
    <w:rsid w:val="00505840"/>
    <w:rsid w:val="00510D84"/>
    <w:rsid w:val="00512BA5"/>
    <w:rsid w:val="00522218"/>
    <w:rsid w:val="00522FB5"/>
    <w:rsid w:val="00533D02"/>
    <w:rsid w:val="0056222E"/>
    <w:rsid w:val="00577766"/>
    <w:rsid w:val="00585B3A"/>
    <w:rsid w:val="00591EE9"/>
    <w:rsid w:val="005975AC"/>
    <w:rsid w:val="005A4AD9"/>
    <w:rsid w:val="005B4910"/>
    <w:rsid w:val="005C2C81"/>
    <w:rsid w:val="005C2F03"/>
    <w:rsid w:val="005D1E55"/>
    <w:rsid w:val="005D35B0"/>
    <w:rsid w:val="005E7339"/>
    <w:rsid w:val="00607A16"/>
    <w:rsid w:val="00623D9E"/>
    <w:rsid w:val="00623DFC"/>
    <w:rsid w:val="006340BE"/>
    <w:rsid w:val="0063502F"/>
    <w:rsid w:val="00670ABA"/>
    <w:rsid w:val="00673F23"/>
    <w:rsid w:val="006D58EE"/>
    <w:rsid w:val="006D5FB7"/>
    <w:rsid w:val="006D7D88"/>
    <w:rsid w:val="006E0125"/>
    <w:rsid w:val="006F010A"/>
    <w:rsid w:val="0071566F"/>
    <w:rsid w:val="007453ED"/>
    <w:rsid w:val="007462D6"/>
    <w:rsid w:val="007637E2"/>
    <w:rsid w:val="0076382F"/>
    <w:rsid w:val="00767C8F"/>
    <w:rsid w:val="00786EE0"/>
    <w:rsid w:val="00792010"/>
    <w:rsid w:val="00796379"/>
    <w:rsid w:val="007B5C43"/>
    <w:rsid w:val="007C4A95"/>
    <w:rsid w:val="007E7E98"/>
    <w:rsid w:val="007F24D0"/>
    <w:rsid w:val="00804D34"/>
    <w:rsid w:val="008277BA"/>
    <w:rsid w:val="00830C78"/>
    <w:rsid w:val="0083418F"/>
    <w:rsid w:val="008375A9"/>
    <w:rsid w:val="00841C2A"/>
    <w:rsid w:val="008551B5"/>
    <w:rsid w:val="00893CC4"/>
    <w:rsid w:val="008B78A4"/>
    <w:rsid w:val="008D3CB1"/>
    <w:rsid w:val="008F6B17"/>
    <w:rsid w:val="00927E0C"/>
    <w:rsid w:val="00936151"/>
    <w:rsid w:val="0096674E"/>
    <w:rsid w:val="00983D78"/>
    <w:rsid w:val="00992D47"/>
    <w:rsid w:val="0099336E"/>
    <w:rsid w:val="009A37A2"/>
    <w:rsid w:val="009D11C6"/>
    <w:rsid w:val="009D261A"/>
    <w:rsid w:val="009D38FD"/>
    <w:rsid w:val="009E4D6C"/>
    <w:rsid w:val="009E51E0"/>
    <w:rsid w:val="00A01BF3"/>
    <w:rsid w:val="00A04A53"/>
    <w:rsid w:val="00A074B9"/>
    <w:rsid w:val="00A149F3"/>
    <w:rsid w:val="00A3183B"/>
    <w:rsid w:val="00A337EA"/>
    <w:rsid w:val="00A73E64"/>
    <w:rsid w:val="00AA24A0"/>
    <w:rsid w:val="00AA44C7"/>
    <w:rsid w:val="00AB0C37"/>
    <w:rsid w:val="00AE3F8F"/>
    <w:rsid w:val="00AF1376"/>
    <w:rsid w:val="00B022D8"/>
    <w:rsid w:val="00B03F7A"/>
    <w:rsid w:val="00B046D4"/>
    <w:rsid w:val="00B224A1"/>
    <w:rsid w:val="00B304BF"/>
    <w:rsid w:val="00B3344D"/>
    <w:rsid w:val="00B36861"/>
    <w:rsid w:val="00B45CFF"/>
    <w:rsid w:val="00B5611A"/>
    <w:rsid w:val="00B94B46"/>
    <w:rsid w:val="00BC5B97"/>
    <w:rsid w:val="00BD1E8D"/>
    <w:rsid w:val="00BD66FC"/>
    <w:rsid w:val="00BE2AD1"/>
    <w:rsid w:val="00C15974"/>
    <w:rsid w:val="00C42FC8"/>
    <w:rsid w:val="00C579A6"/>
    <w:rsid w:val="00C66879"/>
    <w:rsid w:val="00C73167"/>
    <w:rsid w:val="00C825E1"/>
    <w:rsid w:val="00C90944"/>
    <w:rsid w:val="00CA4FE5"/>
    <w:rsid w:val="00CA5428"/>
    <w:rsid w:val="00CC583D"/>
    <w:rsid w:val="00CE61D5"/>
    <w:rsid w:val="00CF0732"/>
    <w:rsid w:val="00CF7B67"/>
    <w:rsid w:val="00D129C0"/>
    <w:rsid w:val="00D27C50"/>
    <w:rsid w:val="00D35D64"/>
    <w:rsid w:val="00D36455"/>
    <w:rsid w:val="00D36773"/>
    <w:rsid w:val="00D3797F"/>
    <w:rsid w:val="00D67B71"/>
    <w:rsid w:val="00D71AE2"/>
    <w:rsid w:val="00DB5553"/>
    <w:rsid w:val="00DB68C9"/>
    <w:rsid w:val="00DC45AF"/>
    <w:rsid w:val="00DE6F9C"/>
    <w:rsid w:val="00E16874"/>
    <w:rsid w:val="00E223E5"/>
    <w:rsid w:val="00E55563"/>
    <w:rsid w:val="00E65EBE"/>
    <w:rsid w:val="00E97BFF"/>
    <w:rsid w:val="00EE56C3"/>
    <w:rsid w:val="00F01368"/>
    <w:rsid w:val="00F043C1"/>
    <w:rsid w:val="00F059FD"/>
    <w:rsid w:val="00F05F09"/>
    <w:rsid w:val="00F125E1"/>
    <w:rsid w:val="00F4550A"/>
    <w:rsid w:val="00F46E17"/>
    <w:rsid w:val="00F8545E"/>
    <w:rsid w:val="00F9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4C0BE"/>
  <w15:chartTrackingRefBased/>
  <w15:docId w15:val="{31B7EFF5-A8F4-7149-AE37-67D801D7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A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B19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8B7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8A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78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pth">
  <a:themeElements>
    <a:clrScheme name="Depth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2834</Words>
  <Characters>16154</Characters>
  <Application>Microsoft Office Word</Application>
  <DocSecurity>0</DocSecurity>
  <Lines>134</Lines>
  <Paragraphs>37</Paragraphs>
  <ScaleCrop>false</ScaleCrop>
  <Company/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Moy</dc:creator>
  <cp:keywords/>
  <dc:description/>
  <cp:lastModifiedBy>Naomi Moy</cp:lastModifiedBy>
  <cp:revision>4</cp:revision>
  <dcterms:created xsi:type="dcterms:W3CDTF">2023-03-27T10:34:00Z</dcterms:created>
  <dcterms:modified xsi:type="dcterms:W3CDTF">2023-05-02T07:39:00Z</dcterms:modified>
</cp:coreProperties>
</file>