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AD4F1" w14:textId="77777777" w:rsidR="00BC53FF" w:rsidRDefault="00BC53FF" w:rsidP="00AE0C64">
      <w:pPr>
        <w:spacing w:after="0" w:line="360" w:lineRule="auto"/>
        <w:ind w:hanging="426"/>
        <w:jc w:val="center"/>
        <w:rPr>
          <w:rFonts w:ascii="Times New Roman" w:hAnsi="Times New Roman"/>
          <w:iCs/>
          <w:sz w:val="24"/>
          <w:szCs w:val="24"/>
        </w:rPr>
      </w:pPr>
      <w:r w:rsidRPr="00CA6467">
        <w:rPr>
          <w:rFonts w:ascii="Times New Roman" w:hAnsi="Times New Roman"/>
          <w:iCs/>
          <w:sz w:val="24"/>
          <w:szCs w:val="24"/>
        </w:rPr>
        <w:t>Web Appendix 1</w:t>
      </w:r>
    </w:p>
    <w:p w14:paraId="7496B661" w14:textId="77777777" w:rsidR="00AE0C64" w:rsidRPr="00CA6467" w:rsidRDefault="00AE0C64" w:rsidP="00BC53FF">
      <w:pPr>
        <w:spacing w:after="0" w:line="360" w:lineRule="auto"/>
        <w:ind w:hanging="426"/>
        <w:rPr>
          <w:rFonts w:ascii="Times New Roman" w:hAnsi="Times New Roman" w:cs="Times New Roman"/>
          <w:iCs/>
          <w:sz w:val="24"/>
          <w:szCs w:val="24"/>
        </w:rPr>
      </w:pPr>
    </w:p>
    <w:p w14:paraId="63F814DD" w14:textId="77777777" w:rsidR="00BC53FF" w:rsidRPr="000F7D59" w:rsidRDefault="00BC53FF" w:rsidP="00BC53FF">
      <w:pPr>
        <w:tabs>
          <w:tab w:val="left" w:pos="4968"/>
        </w:tabs>
        <w:rPr>
          <w:rFonts w:ascii="Times New Roman" w:hAnsi="Times New Roman" w:cs="Times New Roman"/>
          <w:sz w:val="24"/>
          <w:szCs w:val="24"/>
        </w:rPr>
      </w:pPr>
      <w:r w:rsidRPr="000F7D59">
        <w:rPr>
          <w:rFonts w:ascii="Times New Roman" w:eastAsiaTheme="minorEastAsia" w:hAnsi="Times New Roman" w:cs="Times New Roman"/>
          <w:sz w:val="24"/>
          <w:szCs w:val="24"/>
          <w:lang w:val="en-GB" w:eastAsia="zh-CN"/>
        </w:rPr>
        <w:t>Table W1</w:t>
      </w:r>
      <w:r>
        <w:rPr>
          <w:rFonts w:ascii="Times New Roman" w:eastAsiaTheme="minorEastAsia" w:hAnsi="Times New Roman" w:cs="Times New Roman"/>
          <w:sz w:val="24"/>
          <w:szCs w:val="24"/>
          <w:lang w:val="en-GB" w:eastAsia="zh-CN"/>
        </w:rPr>
        <w:t>.</w:t>
      </w:r>
      <w:r w:rsidRPr="000F7D59">
        <w:rPr>
          <w:rFonts w:ascii="Times New Roman" w:eastAsiaTheme="minorEastAsia" w:hAnsi="Times New Roman" w:cs="Times New Roman"/>
          <w:sz w:val="24"/>
          <w:szCs w:val="24"/>
          <w:lang w:val="en-GB" w:eastAsia="zh-CN"/>
        </w:rPr>
        <w:t xml:space="preserve"> Control </w:t>
      </w:r>
      <w:r>
        <w:rPr>
          <w:rFonts w:ascii="Times New Roman" w:eastAsiaTheme="minorEastAsia" w:hAnsi="Times New Roman" w:cs="Times New Roman"/>
          <w:sz w:val="24"/>
          <w:szCs w:val="24"/>
          <w:lang w:val="en-GB" w:eastAsia="zh-CN"/>
        </w:rPr>
        <w:t>v</w:t>
      </w:r>
      <w:r w:rsidRPr="000F7D59">
        <w:rPr>
          <w:rFonts w:ascii="Times New Roman" w:eastAsiaTheme="minorEastAsia" w:hAnsi="Times New Roman" w:cs="Times New Roman"/>
          <w:sz w:val="24"/>
          <w:szCs w:val="24"/>
          <w:lang w:val="en-GB" w:eastAsia="zh-CN"/>
        </w:rPr>
        <w:t xml:space="preserve">ariables: Reason for </w:t>
      </w:r>
      <w:r>
        <w:rPr>
          <w:rFonts w:ascii="Times New Roman" w:eastAsiaTheme="minorEastAsia" w:hAnsi="Times New Roman" w:cs="Times New Roman"/>
          <w:sz w:val="24"/>
          <w:szCs w:val="24"/>
          <w:lang w:val="en-GB" w:eastAsia="zh-CN"/>
        </w:rPr>
        <w:t>i</w:t>
      </w:r>
      <w:r w:rsidRPr="000F7D59">
        <w:rPr>
          <w:rFonts w:ascii="Times New Roman" w:eastAsiaTheme="minorEastAsia" w:hAnsi="Times New Roman" w:cs="Times New Roman"/>
          <w:sz w:val="24"/>
          <w:szCs w:val="24"/>
          <w:lang w:val="en-GB" w:eastAsia="zh-CN"/>
        </w:rPr>
        <w:t>nclusion</w:t>
      </w:r>
    </w:p>
    <w:tbl>
      <w:tblPr>
        <w:tblW w:w="9386" w:type="dxa"/>
        <w:jc w:val="center"/>
        <w:tblLook w:val="04A0" w:firstRow="1" w:lastRow="0" w:firstColumn="1" w:lastColumn="0" w:noHBand="0" w:noVBand="1"/>
      </w:tblPr>
      <w:tblGrid>
        <w:gridCol w:w="2037"/>
        <w:gridCol w:w="7349"/>
      </w:tblGrid>
      <w:tr w:rsidR="00BC53FF" w:rsidRPr="000F7D59" w14:paraId="7A1916A9" w14:textId="77777777" w:rsidTr="00AE0C64">
        <w:trPr>
          <w:trHeight w:val="20"/>
          <w:jc w:val="center"/>
        </w:trPr>
        <w:tc>
          <w:tcPr>
            <w:tcW w:w="2037" w:type="dxa"/>
            <w:tcBorders>
              <w:top w:val="single" w:sz="4" w:space="0" w:color="auto"/>
              <w:bottom w:val="single" w:sz="4" w:space="0" w:color="auto"/>
            </w:tcBorders>
          </w:tcPr>
          <w:p w14:paraId="3156DE51" w14:textId="77777777" w:rsidR="00BC53FF" w:rsidRPr="000F7D59" w:rsidRDefault="00BC53FF" w:rsidP="00AE0C64">
            <w:pPr>
              <w:spacing w:after="0" w:line="240" w:lineRule="auto"/>
              <w:jc w:val="center"/>
              <w:rPr>
                <w:rFonts w:ascii="Times New Roman" w:hAnsi="Times New Roman" w:cs="Times New Roman"/>
                <w:sz w:val="19"/>
                <w:szCs w:val="19"/>
              </w:rPr>
            </w:pPr>
            <w:r w:rsidRPr="000F7D59">
              <w:rPr>
                <w:rFonts w:ascii="Times New Roman" w:hAnsi="Times New Roman" w:cs="Times New Roman"/>
                <w:sz w:val="19"/>
                <w:szCs w:val="19"/>
              </w:rPr>
              <w:t>Control Variable</w:t>
            </w:r>
          </w:p>
        </w:tc>
        <w:tc>
          <w:tcPr>
            <w:tcW w:w="7349" w:type="dxa"/>
            <w:tcBorders>
              <w:top w:val="single" w:sz="4" w:space="0" w:color="auto"/>
              <w:bottom w:val="single" w:sz="4" w:space="0" w:color="auto"/>
            </w:tcBorders>
          </w:tcPr>
          <w:p w14:paraId="6C9B9FAA" w14:textId="77777777" w:rsidR="00BC53FF" w:rsidRPr="000F7D59" w:rsidRDefault="00BC53FF" w:rsidP="00AE0C64">
            <w:pPr>
              <w:spacing w:after="0" w:line="240" w:lineRule="auto"/>
              <w:jc w:val="center"/>
              <w:rPr>
                <w:rFonts w:ascii="Times New Roman" w:hAnsi="Times New Roman" w:cs="Times New Roman"/>
                <w:sz w:val="19"/>
                <w:szCs w:val="19"/>
              </w:rPr>
            </w:pPr>
            <w:r w:rsidRPr="000F7D59">
              <w:rPr>
                <w:rFonts w:ascii="Times New Roman" w:hAnsi="Times New Roman" w:cs="Times New Roman"/>
                <w:sz w:val="19"/>
                <w:szCs w:val="19"/>
              </w:rPr>
              <w:t>Reason for Inclusion</w:t>
            </w:r>
          </w:p>
          <w:p w14:paraId="29493F96" w14:textId="77777777" w:rsidR="00BC53FF" w:rsidRPr="000F7D59" w:rsidRDefault="00BC53FF" w:rsidP="00AE0C64">
            <w:pPr>
              <w:spacing w:after="0" w:line="240" w:lineRule="auto"/>
              <w:jc w:val="center"/>
              <w:rPr>
                <w:rFonts w:ascii="Times New Roman" w:hAnsi="Times New Roman" w:cs="Times New Roman"/>
                <w:sz w:val="19"/>
                <w:szCs w:val="19"/>
              </w:rPr>
            </w:pPr>
          </w:p>
        </w:tc>
      </w:tr>
      <w:tr w:rsidR="00BC53FF" w:rsidRPr="000F7D59" w14:paraId="6501DF98" w14:textId="77777777" w:rsidTr="00AE0C64">
        <w:trPr>
          <w:trHeight w:val="890"/>
          <w:jc w:val="center"/>
        </w:trPr>
        <w:tc>
          <w:tcPr>
            <w:tcW w:w="2037" w:type="dxa"/>
            <w:tcBorders>
              <w:top w:val="single" w:sz="4" w:space="0" w:color="auto"/>
            </w:tcBorders>
          </w:tcPr>
          <w:p w14:paraId="2F8741F0" w14:textId="77777777" w:rsidR="00BC53FF" w:rsidRPr="000F7D59" w:rsidRDefault="00BC53FF" w:rsidP="00AE0C64">
            <w:pPr>
              <w:spacing w:after="0" w:line="240" w:lineRule="auto"/>
              <w:rPr>
                <w:rFonts w:ascii="Times New Roman" w:hAnsi="Times New Roman" w:cs="Times New Roman"/>
                <w:sz w:val="19"/>
                <w:szCs w:val="19"/>
              </w:rPr>
            </w:pPr>
            <w:r w:rsidRPr="000F7D59">
              <w:rPr>
                <w:rFonts w:ascii="Times New Roman" w:hAnsi="Times New Roman" w:cs="Times New Roman"/>
                <w:sz w:val="19"/>
                <w:szCs w:val="19"/>
              </w:rPr>
              <w:t>Size</w:t>
            </w:r>
          </w:p>
        </w:tc>
        <w:tc>
          <w:tcPr>
            <w:tcW w:w="7349" w:type="dxa"/>
            <w:tcBorders>
              <w:top w:val="single" w:sz="4" w:space="0" w:color="auto"/>
            </w:tcBorders>
          </w:tcPr>
          <w:p w14:paraId="72F9676E" w14:textId="77777777" w:rsidR="00BC53FF" w:rsidRPr="000F7D59" w:rsidRDefault="00BC53FF" w:rsidP="00AE0C64">
            <w:pPr>
              <w:pStyle w:val="textbox"/>
              <w:shd w:val="clear" w:color="auto" w:fill="FFFFFF"/>
              <w:spacing w:before="0" w:beforeAutospacing="0" w:after="0" w:afterAutospacing="0"/>
              <w:rPr>
                <w:sz w:val="19"/>
                <w:szCs w:val="19"/>
                <w:lang w:val="en-US"/>
              </w:rPr>
            </w:pPr>
            <w:r w:rsidRPr="000F7D59">
              <w:rPr>
                <w:sz w:val="19"/>
                <w:szCs w:val="19"/>
                <w:lang w:val="en-US"/>
              </w:rPr>
              <w:t>Larger firms may have distinct risk-taking tendencies (Chatterjee and Hambrick 2011). Larger firms have more resources but are also more bureaucratic. This may affect their innovation outcomes (Kashmiri and Mahajan 2017) and, in turn, their number of product recalls.</w:t>
            </w:r>
          </w:p>
        </w:tc>
      </w:tr>
      <w:tr w:rsidR="00BC53FF" w:rsidRPr="000F7D59" w14:paraId="5ADEBEB9" w14:textId="77777777" w:rsidTr="00AE0C64">
        <w:trPr>
          <w:trHeight w:val="505"/>
          <w:jc w:val="center"/>
        </w:trPr>
        <w:tc>
          <w:tcPr>
            <w:tcW w:w="2037" w:type="dxa"/>
          </w:tcPr>
          <w:p w14:paraId="13EBB525" w14:textId="77777777" w:rsidR="00BC53FF" w:rsidRPr="000F7D59" w:rsidDel="00832CC6" w:rsidRDefault="00BC53FF" w:rsidP="00AE0C64">
            <w:pPr>
              <w:pStyle w:val="textbox"/>
              <w:shd w:val="clear" w:color="auto" w:fill="FFFFFF"/>
              <w:spacing w:before="0" w:beforeAutospacing="0" w:after="0" w:afterAutospacing="0"/>
              <w:rPr>
                <w:sz w:val="19"/>
                <w:szCs w:val="19"/>
              </w:rPr>
            </w:pPr>
            <w:r w:rsidRPr="000F7D59">
              <w:rPr>
                <w:sz w:val="19"/>
                <w:szCs w:val="19"/>
              </w:rPr>
              <w:t>Extent of Labor Use</w:t>
            </w:r>
          </w:p>
        </w:tc>
        <w:tc>
          <w:tcPr>
            <w:tcW w:w="7349" w:type="dxa"/>
          </w:tcPr>
          <w:p w14:paraId="549107A2" w14:textId="77777777" w:rsidR="00BC53FF" w:rsidRPr="000F7D59" w:rsidRDefault="00BC53FF" w:rsidP="00AE0C64">
            <w:pPr>
              <w:pStyle w:val="textbox"/>
              <w:shd w:val="clear" w:color="auto" w:fill="FFFFFF"/>
              <w:spacing w:before="0" w:beforeAutospacing="0" w:after="0" w:afterAutospacing="0"/>
              <w:rPr>
                <w:sz w:val="19"/>
                <w:szCs w:val="19"/>
                <w:lang w:val="en-US"/>
              </w:rPr>
            </w:pPr>
            <w:r w:rsidRPr="000F7D59">
              <w:rPr>
                <w:sz w:val="19"/>
                <w:szCs w:val="19"/>
                <w:lang w:val="en-US"/>
              </w:rPr>
              <w:t xml:space="preserve"> The chances of error (due to human causes) vary with increased use of labor (</w:t>
            </w:r>
            <w:proofErr w:type="spellStart"/>
            <w:r w:rsidRPr="000F7D59">
              <w:rPr>
                <w:sz w:val="19"/>
                <w:szCs w:val="19"/>
                <w:lang w:val="en-US"/>
              </w:rPr>
              <w:t>Thirumalai</w:t>
            </w:r>
            <w:proofErr w:type="spellEnd"/>
            <w:r w:rsidRPr="000F7D59">
              <w:rPr>
                <w:sz w:val="19"/>
                <w:szCs w:val="19"/>
                <w:lang w:val="en-US"/>
              </w:rPr>
              <w:t xml:space="preserve"> and Sinha 2011).</w:t>
            </w:r>
          </w:p>
        </w:tc>
      </w:tr>
      <w:tr w:rsidR="00BC53FF" w:rsidRPr="000F7D59" w14:paraId="27437190" w14:textId="77777777" w:rsidTr="00AE0C64">
        <w:trPr>
          <w:trHeight w:val="618"/>
          <w:jc w:val="center"/>
        </w:trPr>
        <w:tc>
          <w:tcPr>
            <w:tcW w:w="2037" w:type="dxa"/>
          </w:tcPr>
          <w:p w14:paraId="2E479620" w14:textId="77777777" w:rsidR="00BC53FF" w:rsidRPr="000F7D59" w:rsidRDefault="00BC53FF" w:rsidP="00AE0C64">
            <w:pPr>
              <w:pStyle w:val="textbox"/>
              <w:shd w:val="clear" w:color="auto" w:fill="FFFFFF"/>
              <w:spacing w:before="0" w:beforeAutospacing="0" w:after="0" w:afterAutospacing="0"/>
              <w:rPr>
                <w:sz w:val="19"/>
                <w:szCs w:val="19"/>
              </w:rPr>
            </w:pPr>
            <w:r w:rsidRPr="000F7D59">
              <w:rPr>
                <w:sz w:val="19"/>
                <w:szCs w:val="19"/>
              </w:rPr>
              <w:t>ROA</w:t>
            </w:r>
          </w:p>
        </w:tc>
        <w:tc>
          <w:tcPr>
            <w:tcW w:w="7349" w:type="dxa"/>
          </w:tcPr>
          <w:p w14:paraId="0B571814" w14:textId="77777777" w:rsidR="00BC53FF" w:rsidRPr="000F7D59" w:rsidRDefault="00BC53FF" w:rsidP="00AE0C64">
            <w:pPr>
              <w:pStyle w:val="textbox"/>
              <w:shd w:val="clear" w:color="auto" w:fill="FFFFFF"/>
              <w:spacing w:before="0" w:beforeAutospacing="0" w:after="0" w:afterAutospacing="0"/>
              <w:rPr>
                <w:sz w:val="19"/>
                <w:szCs w:val="19"/>
                <w:lang w:val="en-US"/>
              </w:rPr>
            </w:pPr>
            <w:r w:rsidRPr="000F7D59">
              <w:rPr>
                <w:sz w:val="19"/>
                <w:szCs w:val="19"/>
                <w:lang w:val="en-US"/>
              </w:rPr>
              <w:t>Firm profitability affects the availability of resources to allocate to quality improvement initiatives (</w:t>
            </w:r>
            <w:proofErr w:type="spellStart"/>
            <w:r w:rsidRPr="000F7D59">
              <w:rPr>
                <w:sz w:val="19"/>
                <w:szCs w:val="19"/>
                <w:lang w:val="en-US"/>
              </w:rPr>
              <w:t>Kalaignanam</w:t>
            </w:r>
            <w:proofErr w:type="spellEnd"/>
            <w:r w:rsidRPr="000F7D59">
              <w:rPr>
                <w:sz w:val="19"/>
                <w:szCs w:val="19"/>
                <w:lang w:val="en-US"/>
              </w:rPr>
              <w:t xml:space="preserve"> et al. 2013). Poor performance may lead to increased risk-taking. </w:t>
            </w:r>
          </w:p>
        </w:tc>
      </w:tr>
      <w:tr w:rsidR="00BC53FF" w:rsidRPr="000F7D59" w14:paraId="549D43C3" w14:textId="77777777" w:rsidTr="00AE0C64">
        <w:trPr>
          <w:trHeight w:val="618"/>
          <w:jc w:val="center"/>
        </w:trPr>
        <w:tc>
          <w:tcPr>
            <w:tcW w:w="2037" w:type="dxa"/>
          </w:tcPr>
          <w:p w14:paraId="616860ED" w14:textId="77777777" w:rsidR="00BC53FF" w:rsidRPr="000F7D59" w:rsidRDefault="00BC53FF" w:rsidP="00AE0C64">
            <w:pPr>
              <w:pStyle w:val="textbox"/>
              <w:shd w:val="clear" w:color="auto" w:fill="FFFFFF"/>
              <w:spacing w:before="0" w:beforeAutospacing="0" w:after="0" w:afterAutospacing="0"/>
              <w:rPr>
                <w:sz w:val="19"/>
                <w:szCs w:val="19"/>
              </w:rPr>
            </w:pPr>
            <w:r w:rsidRPr="000F7D59">
              <w:rPr>
                <w:sz w:val="19"/>
                <w:szCs w:val="19"/>
              </w:rPr>
              <w:t>Tobin’s Q</w:t>
            </w:r>
          </w:p>
        </w:tc>
        <w:tc>
          <w:tcPr>
            <w:tcW w:w="7349" w:type="dxa"/>
          </w:tcPr>
          <w:p w14:paraId="7C5B461A" w14:textId="77777777" w:rsidR="00BC53FF" w:rsidRPr="000F7D59" w:rsidRDefault="00BC53FF" w:rsidP="00AE0C64">
            <w:pPr>
              <w:pStyle w:val="textbox"/>
              <w:shd w:val="clear" w:color="auto" w:fill="FFFFFF"/>
              <w:spacing w:before="0" w:beforeAutospacing="0" w:after="0" w:afterAutospacing="0"/>
              <w:rPr>
                <w:sz w:val="19"/>
                <w:szCs w:val="19"/>
                <w:lang w:val="en-US"/>
              </w:rPr>
            </w:pPr>
            <w:r w:rsidRPr="000F7D59">
              <w:rPr>
                <w:sz w:val="19"/>
                <w:szCs w:val="19"/>
                <w:lang w:val="en-US"/>
              </w:rPr>
              <w:t>Tobin’s Q may be related to availability of resources and/or motivation to invest in product quality (Kashmiri and Brower 2016)</w:t>
            </w:r>
          </w:p>
        </w:tc>
      </w:tr>
      <w:tr w:rsidR="00BC53FF" w:rsidRPr="000F7D59" w14:paraId="537F8CBF" w14:textId="77777777" w:rsidTr="00AE0C64">
        <w:trPr>
          <w:trHeight w:val="600"/>
          <w:jc w:val="center"/>
        </w:trPr>
        <w:tc>
          <w:tcPr>
            <w:tcW w:w="2037" w:type="dxa"/>
          </w:tcPr>
          <w:p w14:paraId="303D7478" w14:textId="77777777" w:rsidR="00BC53FF" w:rsidRPr="000F7D59" w:rsidRDefault="00BC53FF" w:rsidP="00AE0C64">
            <w:pPr>
              <w:spacing w:after="0" w:line="240" w:lineRule="auto"/>
              <w:rPr>
                <w:rFonts w:ascii="Times New Roman" w:hAnsi="Times New Roman" w:cs="Times New Roman"/>
                <w:sz w:val="19"/>
                <w:szCs w:val="19"/>
              </w:rPr>
            </w:pPr>
            <w:r w:rsidRPr="000F7D59">
              <w:rPr>
                <w:rFonts w:ascii="Times New Roman" w:hAnsi="Times New Roman" w:cs="Times New Roman"/>
                <w:sz w:val="19"/>
                <w:szCs w:val="19"/>
              </w:rPr>
              <w:t xml:space="preserve">Number of Incremental Innovations </w:t>
            </w:r>
          </w:p>
        </w:tc>
        <w:tc>
          <w:tcPr>
            <w:tcW w:w="7349" w:type="dxa"/>
          </w:tcPr>
          <w:p w14:paraId="40A9F743" w14:textId="77777777" w:rsidR="00BC53FF" w:rsidRPr="000F7D59" w:rsidRDefault="00BC53FF" w:rsidP="00AE0C64">
            <w:pPr>
              <w:pStyle w:val="textbox"/>
              <w:shd w:val="clear" w:color="auto" w:fill="FFFFFF"/>
              <w:spacing w:before="0" w:beforeAutospacing="0" w:after="0" w:afterAutospacing="0"/>
              <w:rPr>
                <w:sz w:val="19"/>
                <w:szCs w:val="19"/>
                <w:lang w:val="en-US"/>
              </w:rPr>
            </w:pPr>
            <w:r w:rsidRPr="000F7D59">
              <w:rPr>
                <w:sz w:val="19"/>
                <w:szCs w:val="19"/>
                <w:lang w:val="en-US"/>
              </w:rPr>
              <w:t>Firms that introduce more new products are more likely to experience product recalls.</w:t>
            </w:r>
          </w:p>
        </w:tc>
      </w:tr>
      <w:tr w:rsidR="00BC53FF" w:rsidRPr="000F7D59" w14:paraId="5B9C359E" w14:textId="77777777" w:rsidTr="00AE0C64">
        <w:trPr>
          <w:trHeight w:val="600"/>
          <w:jc w:val="center"/>
        </w:trPr>
        <w:tc>
          <w:tcPr>
            <w:tcW w:w="2037" w:type="dxa"/>
          </w:tcPr>
          <w:p w14:paraId="5F475932" w14:textId="77777777" w:rsidR="00BC53FF" w:rsidRPr="000F7D59" w:rsidRDefault="00BC53FF" w:rsidP="00AE0C64">
            <w:pPr>
              <w:spacing w:after="0" w:line="240" w:lineRule="auto"/>
              <w:rPr>
                <w:rFonts w:ascii="Times New Roman" w:hAnsi="Times New Roman" w:cs="Times New Roman"/>
                <w:sz w:val="19"/>
                <w:szCs w:val="19"/>
              </w:rPr>
            </w:pPr>
            <w:r w:rsidRPr="000F7D59">
              <w:rPr>
                <w:rFonts w:ascii="Times New Roman" w:hAnsi="Times New Roman" w:cs="Times New Roman"/>
                <w:sz w:val="19"/>
                <w:szCs w:val="19"/>
              </w:rPr>
              <w:t>Number of Radical Innovations</w:t>
            </w:r>
          </w:p>
        </w:tc>
        <w:tc>
          <w:tcPr>
            <w:tcW w:w="7349" w:type="dxa"/>
          </w:tcPr>
          <w:p w14:paraId="4F35BCE3" w14:textId="77777777" w:rsidR="00BC53FF" w:rsidRPr="000F7D59" w:rsidRDefault="00BC53FF" w:rsidP="00AE0C64">
            <w:pPr>
              <w:pStyle w:val="textbox"/>
              <w:shd w:val="clear" w:color="auto" w:fill="FFFFFF"/>
              <w:spacing w:before="0" w:beforeAutospacing="0" w:after="0" w:afterAutospacing="0"/>
              <w:rPr>
                <w:sz w:val="19"/>
                <w:szCs w:val="19"/>
                <w:lang w:val="en-US"/>
              </w:rPr>
            </w:pPr>
            <w:r w:rsidRPr="000F7D59">
              <w:rPr>
                <w:sz w:val="19"/>
                <w:szCs w:val="19"/>
                <w:lang w:val="en-US"/>
              </w:rPr>
              <w:t>Firms that introduce more new products are more likely to experience product recalls.</w:t>
            </w:r>
          </w:p>
        </w:tc>
      </w:tr>
      <w:tr w:rsidR="00BC53FF" w:rsidRPr="000F7D59" w14:paraId="19944DBE" w14:textId="77777777" w:rsidTr="00AE0C64">
        <w:trPr>
          <w:trHeight w:val="20"/>
          <w:jc w:val="center"/>
        </w:trPr>
        <w:tc>
          <w:tcPr>
            <w:tcW w:w="2037" w:type="dxa"/>
          </w:tcPr>
          <w:p w14:paraId="12C1D07C" w14:textId="77777777" w:rsidR="00BC53FF" w:rsidRPr="000F7D59" w:rsidRDefault="00BC53FF" w:rsidP="00AE0C64">
            <w:pPr>
              <w:spacing w:after="0" w:line="240" w:lineRule="auto"/>
              <w:rPr>
                <w:rFonts w:ascii="Times New Roman" w:hAnsi="Times New Roman" w:cs="Times New Roman"/>
                <w:sz w:val="19"/>
                <w:szCs w:val="19"/>
              </w:rPr>
            </w:pPr>
            <w:r w:rsidRPr="000F7D59">
              <w:rPr>
                <w:rFonts w:ascii="Times New Roman" w:hAnsi="Times New Roman" w:cs="Times New Roman"/>
                <w:sz w:val="19"/>
                <w:szCs w:val="19"/>
              </w:rPr>
              <w:t>R&amp;D intensity</w:t>
            </w:r>
          </w:p>
        </w:tc>
        <w:tc>
          <w:tcPr>
            <w:tcW w:w="7349" w:type="dxa"/>
          </w:tcPr>
          <w:p w14:paraId="3067CF9C" w14:textId="77777777" w:rsidR="00BC53FF" w:rsidRPr="000F7D59" w:rsidRDefault="00BC53FF" w:rsidP="00AE0C64">
            <w:pPr>
              <w:pStyle w:val="textbox"/>
              <w:shd w:val="clear" w:color="auto" w:fill="FFFFFF"/>
              <w:spacing w:before="0" w:beforeAutospacing="0" w:after="0" w:afterAutospacing="0"/>
              <w:rPr>
                <w:sz w:val="19"/>
                <w:szCs w:val="19"/>
                <w:lang w:val="en-US"/>
              </w:rPr>
            </w:pPr>
            <w:r w:rsidRPr="000F7D59">
              <w:rPr>
                <w:sz w:val="19"/>
                <w:szCs w:val="19"/>
                <w:lang w:val="en-US"/>
              </w:rPr>
              <w:t>R&amp;D efforts may either attenuate the chances of a product quality failure, and, as a result, reduce the number of product recalls, or may indicate the firm’s innovation orientation, which may increase the number of product recalls (</w:t>
            </w:r>
            <w:proofErr w:type="spellStart"/>
            <w:r w:rsidRPr="000F7D59">
              <w:rPr>
                <w:sz w:val="19"/>
                <w:szCs w:val="19"/>
                <w:lang w:val="en-US"/>
              </w:rPr>
              <w:t>Thirumalai</w:t>
            </w:r>
            <w:proofErr w:type="spellEnd"/>
            <w:r w:rsidRPr="000F7D59">
              <w:rPr>
                <w:sz w:val="19"/>
                <w:szCs w:val="19"/>
                <w:lang w:val="en-US"/>
              </w:rPr>
              <w:t xml:space="preserve"> and Sinha 2011).</w:t>
            </w:r>
          </w:p>
        </w:tc>
      </w:tr>
      <w:tr w:rsidR="00BC53FF" w:rsidRPr="000F7D59" w14:paraId="3C35E130" w14:textId="77777777" w:rsidTr="00AE0C64">
        <w:trPr>
          <w:trHeight w:val="457"/>
          <w:jc w:val="center"/>
        </w:trPr>
        <w:tc>
          <w:tcPr>
            <w:tcW w:w="2037" w:type="dxa"/>
          </w:tcPr>
          <w:p w14:paraId="69774318" w14:textId="77777777" w:rsidR="00BC53FF" w:rsidRPr="000F7D59" w:rsidRDefault="00BC53FF" w:rsidP="00AE0C64">
            <w:pPr>
              <w:spacing w:after="0" w:line="240" w:lineRule="auto"/>
              <w:rPr>
                <w:rFonts w:ascii="Times New Roman" w:hAnsi="Times New Roman" w:cs="Times New Roman"/>
                <w:sz w:val="19"/>
                <w:szCs w:val="19"/>
              </w:rPr>
            </w:pPr>
            <w:r w:rsidRPr="000F7D59">
              <w:rPr>
                <w:rFonts w:ascii="Times New Roman" w:hAnsi="Times New Roman" w:cs="Times New Roman"/>
                <w:sz w:val="19"/>
                <w:szCs w:val="19"/>
              </w:rPr>
              <w:t>Advertising Intensity</w:t>
            </w:r>
          </w:p>
        </w:tc>
        <w:tc>
          <w:tcPr>
            <w:tcW w:w="7349" w:type="dxa"/>
          </w:tcPr>
          <w:p w14:paraId="1F55DE17" w14:textId="77777777" w:rsidR="00BC53FF" w:rsidRPr="000F7D59" w:rsidRDefault="00BC53FF" w:rsidP="00AE0C64">
            <w:pPr>
              <w:pStyle w:val="textbox"/>
              <w:shd w:val="clear" w:color="auto" w:fill="FFFFFF"/>
              <w:spacing w:before="0" w:beforeAutospacing="0" w:after="0" w:afterAutospacing="0"/>
              <w:rPr>
                <w:sz w:val="19"/>
                <w:szCs w:val="19"/>
                <w:lang w:val="en-US"/>
              </w:rPr>
            </w:pPr>
            <w:r w:rsidRPr="000F7D59">
              <w:rPr>
                <w:sz w:val="19"/>
                <w:szCs w:val="19"/>
                <w:lang w:val="en-US"/>
              </w:rPr>
              <w:t>Advertising efforts may indicate the firm’s customer orientation, which may decrease the number of product recalls.</w:t>
            </w:r>
          </w:p>
        </w:tc>
      </w:tr>
      <w:tr w:rsidR="00BC53FF" w:rsidRPr="000F7D59" w14:paraId="32FCE8B3" w14:textId="77777777" w:rsidTr="00AE0C64">
        <w:trPr>
          <w:trHeight w:val="20"/>
          <w:jc w:val="center"/>
        </w:trPr>
        <w:tc>
          <w:tcPr>
            <w:tcW w:w="2037" w:type="dxa"/>
          </w:tcPr>
          <w:p w14:paraId="7A0CB731" w14:textId="77777777" w:rsidR="00BC53FF" w:rsidRPr="000F7D59" w:rsidRDefault="00BC53FF" w:rsidP="00AE0C64">
            <w:pPr>
              <w:pStyle w:val="textbox"/>
              <w:shd w:val="clear" w:color="auto" w:fill="FFFFFF"/>
              <w:spacing w:before="0" w:beforeAutospacing="0" w:after="0" w:afterAutospacing="0"/>
              <w:rPr>
                <w:sz w:val="19"/>
                <w:szCs w:val="19"/>
              </w:rPr>
            </w:pPr>
            <w:r w:rsidRPr="000F7D59">
              <w:rPr>
                <w:sz w:val="19"/>
                <w:szCs w:val="19"/>
              </w:rPr>
              <w:t>Slack Resources</w:t>
            </w:r>
          </w:p>
        </w:tc>
        <w:tc>
          <w:tcPr>
            <w:tcW w:w="7349" w:type="dxa"/>
          </w:tcPr>
          <w:p w14:paraId="54DCBAF3" w14:textId="77777777" w:rsidR="00BC53FF" w:rsidRPr="000F7D59" w:rsidRDefault="00BC53FF" w:rsidP="00AE0C64">
            <w:pPr>
              <w:pStyle w:val="textbox"/>
              <w:shd w:val="clear" w:color="auto" w:fill="FFFFFF"/>
              <w:spacing w:before="0" w:beforeAutospacing="0" w:after="0" w:afterAutospacing="0"/>
              <w:rPr>
                <w:sz w:val="19"/>
                <w:szCs w:val="19"/>
                <w:lang w:val="en-US"/>
              </w:rPr>
            </w:pPr>
            <w:r w:rsidRPr="000F7D59">
              <w:rPr>
                <w:sz w:val="19"/>
                <w:szCs w:val="19"/>
                <w:lang w:val="en-US"/>
              </w:rPr>
              <w:t xml:space="preserve">Resource availability may affect strategic behaviors, in general, and risk-taking, in particular (Chatterjee and Hambrick 2011). </w:t>
            </w:r>
          </w:p>
        </w:tc>
      </w:tr>
      <w:tr w:rsidR="00BC53FF" w:rsidRPr="000F7D59" w14:paraId="710C8C78" w14:textId="77777777" w:rsidTr="00AE0C64">
        <w:trPr>
          <w:trHeight w:val="574"/>
          <w:jc w:val="center"/>
        </w:trPr>
        <w:tc>
          <w:tcPr>
            <w:tcW w:w="2037" w:type="dxa"/>
          </w:tcPr>
          <w:p w14:paraId="2B77EE80" w14:textId="77777777" w:rsidR="00BC53FF" w:rsidRPr="000F7D59" w:rsidRDefault="00BC53FF" w:rsidP="00AE0C64">
            <w:pPr>
              <w:spacing w:after="0" w:line="240" w:lineRule="auto"/>
              <w:rPr>
                <w:rFonts w:ascii="Times New Roman" w:hAnsi="Times New Roman" w:cs="Times New Roman"/>
                <w:sz w:val="19"/>
                <w:szCs w:val="19"/>
              </w:rPr>
            </w:pPr>
            <w:r w:rsidRPr="000F7D59">
              <w:rPr>
                <w:rFonts w:ascii="Times New Roman" w:hAnsi="Times New Roman" w:cs="Times New Roman"/>
                <w:sz w:val="19"/>
                <w:szCs w:val="19"/>
              </w:rPr>
              <w:t>Financial Distress</w:t>
            </w:r>
          </w:p>
        </w:tc>
        <w:tc>
          <w:tcPr>
            <w:tcW w:w="7349" w:type="dxa"/>
          </w:tcPr>
          <w:p w14:paraId="33056550" w14:textId="77777777" w:rsidR="00BC53FF" w:rsidRPr="000F7D59" w:rsidRDefault="00BC53FF" w:rsidP="00AE0C64">
            <w:pPr>
              <w:pStyle w:val="textbox"/>
              <w:shd w:val="clear" w:color="auto" w:fill="FFFFFF"/>
              <w:spacing w:before="0" w:beforeAutospacing="0" w:after="0" w:afterAutospacing="0"/>
              <w:rPr>
                <w:sz w:val="19"/>
                <w:szCs w:val="19"/>
                <w:lang w:val="en-US"/>
              </w:rPr>
            </w:pPr>
            <w:r w:rsidRPr="000F7D59">
              <w:rPr>
                <w:sz w:val="19"/>
                <w:szCs w:val="19"/>
                <w:lang w:val="en-US"/>
              </w:rPr>
              <w:t>Financial distress increases risk-taking and affects the firm’s capability to invest in both innovation and product safety.</w:t>
            </w:r>
          </w:p>
        </w:tc>
      </w:tr>
      <w:tr w:rsidR="00BC53FF" w:rsidRPr="000F7D59" w14:paraId="762F5759" w14:textId="77777777" w:rsidTr="00AE0C64">
        <w:trPr>
          <w:trHeight w:val="425"/>
          <w:jc w:val="center"/>
        </w:trPr>
        <w:tc>
          <w:tcPr>
            <w:tcW w:w="2037" w:type="dxa"/>
          </w:tcPr>
          <w:p w14:paraId="0975D2B4" w14:textId="77777777" w:rsidR="00BC53FF" w:rsidRPr="000F7D59" w:rsidRDefault="00BC53FF" w:rsidP="00AE0C64">
            <w:pPr>
              <w:spacing w:after="0" w:line="240" w:lineRule="auto"/>
              <w:rPr>
                <w:rFonts w:ascii="Times New Roman" w:hAnsi="Times New Roman" w:cs="Times New Roman"/>
                <w:sz w:val="19"/>
                <w:szCs w:val="19"/>
              </w:rPr>
            </w:pPr>
            <w:r w:rsidRPr="000F7D59">
              <w:rPr>
                <w:rFonts w:ascii="Times New Roman" w:hAnsi="Times New Roman" w:cs="Times New Roman"/>
                <w:sz w:val="19"/>
                <w:szCs w:val="19"/>
              </w:rPr>
              <w:t>Financial Leverage</w:t>
            </w:r>
          </w:p>
        </w:tc>
        <w:tc>
          <w:tcPr>
            <w:tcW w:w="7349" w:type="dxa"/>
          </w:tcPr>
          <w:p w14:paraId="082107A7" w14:textId="77777777" w:rsidR="00BC53FF" w:rsidRPr="000F7D59" w:rsidRDefault="00BC53FF" w:rsidP="00AE0C64">
            <w:pPr>
              <w:pStyle w:val="textbox"/>
              <w:shd w:val="clear" w:color="auto" w:fill="FFFFFF"/>
              <w:spacing w:before="0" w:beforeAutospacing="0" w:after="0" w:afterAutospacing="0"/>
              <w:rPr>
                <w:sz w:val="19"/>
                <w:szCs w:val="19"/>
                <w:lang w:val="en-US"/>
              </w:rPr>
            </w:pPr>
            <w:r w:rsidRPr="000F7D59">
              <w:rPr>
                <w:sz w:val="19"/>
                <w:szCs w:val="19"/>
                <w:lang w:val="en-US"/>
              </w:rPr>
              <w:t>Leverage may be related to availability of resources and/or motivation to invest in product quality (Kashmiri and Brower 2016).</w:t>
            </w:r>
          </w:p>
        </w:tc>
      </w:tr>
      <w:tr w:rsidR="00BC53FF" w:rsidRPr="000F7D59" w14:paraId="6E107E77" w14:textId="77777777" w:rsidTr="00AE0C64">
        <w:trPr>
          <w:trHeight w:val="20"/>
          <w:jc w:val="center"/>
        </w:trPr>
        <w:tc>
          <w:tcPr>
            <w:tcW w:w="2037" w:type="dxa"/>
          </w:tcPr>
          <w:p w14:paraId="1136EEB1" w14:textId="77777777" w:rsidR="00BC53FF" w:rsidRPr="000F7D59" w:rsidRDefault="00BC53FF" w:rsidP="00AE0C64">
            <w:pPr>
              <w:spacing w:after="0" w:line="240" w:lineRule="auto"/>
              <w:rPr>
                <w:rFonts w:ascii="Times New Roman" w:hAnsi="Times New Roman" w:cs="Times New Roman"/>
                <w:sz w:val="19"/>
                <w:szCs w:val="19"/>
              </w:rPr>
            </w:pPr>
            <w:r w:rsidRPr="000F7D59">
              <w:rPr>
                <w:rFonts w:ascii="Times New Roman" w:hAnsi="Times New Roman" w:cs="Times New Roman"/>
                <w:sz w:val="19"/>
                <w:szCs w:val="19"/>
              </w:rPr>
              <w:t>Democratic Power</w:t>
            </w:r>
          </w:p>
        </w:tc>
        <w:tc>
          <w:tcPr>
            <w:tcW w:w="7349" w:type="dxa"/>
          </w:tcPr>
          <w:p w14:paraId="036FAB6F" w14:textId="77777777" w:rsidR="00BC53FF" w:rsidRPr="000F7D59" w:rsidRDefault="00BC53FF" w:rsidP="00AE0C64">
            <w:pPr>
              <w:pStyle w:val="textbox"/>
              <w:shd w:val="clear" w:color="auto" w:fill="FFFFFF"/>
              <w:spacing w:before="0" w:beforeAutospacing="0" w:after="0" w:afterAutospacing="0"/>
              <w:rPr>
                <w:sz w:val="19"/>
                <w:szCs w:val="19"/>
                <w:lang w:val="en-US"/>
              </w:rPr>
            </w:pPr>
            <w:r w:rsidRPr="000F7D59">
              <w:rPr>
                <w:sz w:val="19"/>
                <w:szCs w:val="19"/>
                <w:lang w:val="en-US"/>
              </w:rPr>
              <w:t>The number of product recalls increases under Democratic administrations (Bromiley and Marcus 1989).</w:t>
            </w:r>
          </w:p>
        </w:tc>
      </w:tr>
      <w:tr w:rsidR="00BC53FF" w:rsidRPr="000F7D59" w14:paraId="60EBAB8F" w14:textId="77777777" w:rsidTr="00AE0C64">
        <w:trPr>
          <w:trHeight w:val="20"/>
          <w:jc w:val="center"/>
        </w:trPr>
        <w:tc>
          <w:tcPr>
            <w:tcW w:w="2037" w:type="dxa"/>
          </w:tcPr>
          <w:p w14:paraId="09D07D77" w14:textId="77777777" w:rsidR="00BC53FF" w:rsidRPr="000F7D59" w:rsidRDefault="00BC53FF" w:rsidP="00AE0C64">
            <w:pPr>
              <w:spacing w:after="0" w:line="240" w:lineRule="auto"/>
              <w:rPr>
                <w:rFonts w:ascii="Times New Roman" w:hAnsi="Times New Roman" w:cs="Times New Roman"/>
                <w:sz w:val="19"/>
                <w:szCs w:val="19"/>
              </w:rPr>
            </w:pPr>
            <w:r w:rsidRPr="000F7D59">
              <w:rPr>
                <w:rFonts w:ascii="Times New Roman" w:hAnsi="Times New Roman" w:cs="Times New Roman"/>
                <w:sz w:val="19"/>
                <w:szCs w:val="19"/>
              </w:rPr>
              <w:t>CEO Tenure</w:t>
            </w:r>
          </w:p>
        </w:tc>
        <w:tc>
          <w:tcPr>
            <w:tcW w:w="7349" w:type="dxa"/>
          </w:tcPr>
          <w:p w14:paraId="1E69F6CE" w14:textId="77777777" w:rsidR="00BC53FF" w:rsidRPr="000F7D59" w:rsidRDefault="00BC53FF" w:rsidP="00AE0C64">
            <w:pPr>
              <w:shd w:val="clear" w:color="auto" w:fill="FFFFFF"/>
              <w:spacing w:after="0" w:line="0" w:lineRule="auto"/>
              <w:rPr>
                <w:rFonts w:ascii="ff2" w:eastAsia="Times New Roman" w:hAnsi="ff2" w:cs="Times New Roman"/>
                <w:color w:val="231F20"/>
                <w:sz w:val="19"/>
                <w:szCs w:val="19"/>
                <w:lang w:val="en-GB" w:eastAsia="en-GB"/>
              </w:rPr>
            </w:pPr>
            <w:proofErr w:type="spellStart"/>
            <w:r w:rsidRPr="000F7D59">
              <w:rPr>
                <w:rFonts w:ascii="ff2" w:eastAsia="Times New Roman" w:hAnsi="ff2" w:cs="Times New Roman"/>
                <w:color w:val="231F20"/>
                <w:sz w:val="19"/>
                <w:szCs w:val="19"/>
                <w:lang w:val="en-GB" w:eastAsia="en-GB"/>
              </w:rPr>
              <w:t>tudies</w:t>
            </w:r>
            <w:proofErr w:type="spellEnd"/>
            <w:r w:rsidRPr="000F7D59">
              <w:rPr>
                <w:rFonts w:ascii="ff2" w:eastAsia="Times New Roman" w:hAnsi="ff2" w:cs="Times New Roman"/>
                <w:color w:val="231F20"/>
                <w:sz w:val="19"/>
                <w:szCs w:val="19"/>
                <w:lang w:val="en-GB" w:eastAsia="en-GB"/>
              </w:rPr>
              <w:t xml:space="preserve"> have highlighted a</w:t>
            </w:r>
          </w:p>
          <w:p w14:paraId="622DF5A1" w14:textId="77777777" w:rsidR="00BC53FF" w:rsidRPr="000F7D59" w:rsidRDefault="00BC53FF" w:rsidP="00AE0C64">
            <w:pPr>
              <w:shd w:val="clear" w:color="auto" w:fill="FFFFFF"/>
              <w:spacing w:after="0" w:line="0" w:lineRule="auto"/>
              <w:rPr>
                <w:rFonts w:ascii="ff2" w:eastAsia="Times New Roman" w:hAnsi="ff2" w:cs="Times New Roman"/>
                <w:color w:val="231F20"/>
                <w:sz w:val="19"/>
                <w:szCs w:val="19"/>
                <w:lang w:val="en-GB" w:eastAsia="en-GB"/>
              </w:rPr>
            </w:pPr>
            <w:r w:rsidRPr="000F7D59">
              <w:rPr>
                <w:rFonts w:ascii="ff2" w:eastAsia="Times New Roman" w:hAnsi="ff2" w:cs="Times New Roman"/>
                <w:color w:val="231F20"/>
                <w:sz w:val="19"/>
                <w:szCs w:val="19"/>
                <w:lang w:val="en-GB" w:eastAsia="en-GB"/>
              </w:rPr>
              <w:t xml:space="preserve">general tendency toward conservatism as </w:t>
            </w:r>
            <w:proofErr w:type="spellStart"/>
            <w:r w:rsidRPr="000F7D59">
              <w:rPr>
                <w:rFonts w:ascii="ff2" w:eastAsia="Times New Roman" w:hAnsi="ff2" w:cs="Times New Roman"/>
                <w:color w:val="231F20"/>
                <w:sz w:val="19"/>
                <w:szCs w:val="19"/>
                <w:lang w:val="en-GB" w:eastAsia="en-GB"/>
              </w:rPr>
              <w:t>execu</w:t>
            </w:r>
            <w:proofErr w:type="spellEnd"/>
            <w:r w:rsidRPr="000F7D59">
              <w:rPr>
                <w:rFonts w:ascii="ff2" w:eastAsia="Times New Roman" w:hAnsi="ff2" w:cs="Times New Roman"/>
                <w:color w:val="231F20"/>
                <w:sz w:val="19"/>
                <w:szCs w:val="19"/>
                <w:lang w:val="en-GB" w:eastAsia="en-GB"/>
              </w:rPr>
              <w:t>-</w:t>
            </w:r>
          </w:p>
          <w:p w14:paraId="1835158E" w14:textId="77777777" w:rsidR="00BC53FF" w:rsidRPr="000F7D59" w:rsidRDefault="00BC53FF" w:rsidP="00AE0C64">
            <w:pPr>
              <w:shd w:val="clear" w:color="auto" w:fill="FFFFFF"/>
              <w:spacing w:after="0" w:line="0" w:lineRule="auto"/>
              <w:rPr>
                <w:rFonts w:ascii="ff2" w:eastAsia="Times New Roman" w:hAnsi="ff2" w:cs="Times New Roman"/>
                <w:color w:val="231F20"/>
                <w:sz w:val="19"/>
                <w:szCs w:val="19"/>
                <w:lang w:val="en-GB" w:eastAsia="en-GB"/>
              </w:rPr>
            </w:pPr>
            <w:proofErr w:type="spellStart"/>
            <w:r w:rsidRPr="000F7D59">
              <w:rPr>
                <w:rFonts w:ascii="ff2" w:eastAsia="Times New Roman" w:hAnsi="ff2" w:cs="Times New Roman"/>
                <w:color w:val="231F20"/>
                <w:sz w:val="19"/>
                <w:szCs w:val="19"/>
                <w:lang w:val="en-GB" w:eastAsia="en-GB"/>
              </w:rPr>
              <w:t>tives</w:t>
            </w:r>
            <w:proofErr w:type="spellEnd"/>
            <w:r w:rsidRPr="000F7D59">
              <w:rPr>
                <w:rFonts w:ascii="ff2" w:eastAsia="Times New Roman" w:hAnsi="ff2" w:cs="Times New Roman"/>
                <w:color w:val="231F20"/>
                <w:sz w:val="19"/>
                <w:szCs w:val="19"/>
                <w:lang w:val="en-GB" w:eastAsia="en-GB"/>
              </w:rPr>
              <w:t xml:space="preserve"> advance in their tenures</w:t>
            </w:r>
          </w:p>
          <w:p w14:paraId="4788A9EC" w14:textId="77777777" w:rsidR="00BC53FF" w:rsidRPr="000F7D59" w:rsidRDefault="00BC53FF" w:rsidP="00AE0C64">
            <w:pPr>
              <w:pStyle w:val="textbox"/>
              <w:shd w:val="clear" w:color="auto" w:fill="FFFFFF"/>
              <w:spacing w:before="0" w:beforeAutospacing="0" w:after="0" w:afterAutospacing="0"/>
              <w:rPr>
                <w:sz w:val="19"/>
                <w:szCs w:val="19"/>
                <w:lang w:val="en-US"/>
              </w:rPr>
            </w:pPr>
            <w:r w:rsidRPr="000F7D59">
              <w:rPr>
                <w:sz w:val="19"/>
                <w:szCs w:val="19"/>
                <w:lang w:val="en-GB"/>
              </w:rPr>
              <w:t>As executives advance in their tenures, they become more conservative (</w:t>
            </w:r>
            <w:proofErr w:type="spellStart"/>
            <w:r w:rsidRPr="000F7D59">
              <w:rPr>
                <w:sz w:val="19"/>
                <w:szCs w:val="19"/>
                <w:lang w:val="en-US"/>
              </w:rPr>
              <w:t>Wowak</w:t>
            </w:r>
            <w:proofErr w:type="spellEnd"/>
            <w:r w:rsidRPr="000F7D59">
              <w:rPr>
                <w:sz w:val="19"/>
                <w:szCs w:val="19"/>
                <w:lang w:val="en-US"/>
              </w:rPr>
              <w:t xml:space="preserve"> et al. 2015). This may affect their firms’ number of product recalls.</w:t>
            </w:r>
          </w:p>
        </w:tc>
      </w:tr>
      <w:tr w:rsidR="00BC53FF" w:rsidRPr="000F7D59" w14:paraId="6D462261" w14:textId="77777777" w:rsidTr="00AE0C64">
        <w:trPr>
          <w:trHeight w:val="20"/>
          <w:jc w:val="center"/>
        </w:trPr>
        <w:tc>
          <w:tcPr>
            <w:tcW w:w="2037" w:type="dxa"/>
          </w:tcPr>
          <w:p w14:paraId="4C216B35" w14:textId="77777777" w:rsidR="00BC53FF" w:rsidRPr="000F7D59" w:rsidRDefault="00BC53FF" w:rsidP="00AE0C64">
            <w:pPr>
              <w:spacing w:after="0" w:line="240" w:lineRule="auto"/>
              <w:rPr>
                <w:rFonts w:ascii="Times New Roman" w:hAnsi="Times New Roman" w:cs="Times New Roman"/>
                <w:sz w:val="19"/>
                <w:szCs w:val="19"/>
              </w:rPr>
            </w:pPr>
            <w:r w:rsidRPr="000F7D59">
              <w:rPr>
                <w:rFonts w:ascii="Times New Roman" w:hAnsi="Times New Roman" w:cs="Times New Roman"/>
                <w:sz w:val="19"/>
                <w:szCs w:val="19"/>
              </w:rPr>
              <w:t>CEO Stock Options Pay</w:t>
            </w:r>
          </w:p>
        </w:tc>
        <w:tc>
          <w:tcPr>
            <w:tcW w:w="7349" w:type="dxa"/>
          </w:tcPr>
          <w:p w14:paraId="391ABD6D" w14:textId="77777777" w:rsidR="00BC53FF" w:rsidRPr="000F7D59" w:rsidRDefault="00BC53FF" w:rsidP="00AE0C64">
            <w:pPr>
              <w:shd w:val="clear" w:color="auto" w:fill="FFFFFF"/>
              <w:spacing w:after="0" w:line="0" w:lineRule="auto"/>
              <w:rPr>
                <w:rFonts w:ascii="ff1" w:eastAsia="Times New Roman" w:hAnsi="ff1" w:cs="Times New Roman"/>
                <w:color w:val="231F20"/>
                <w:sz w:val="55"/>
                <w:szCs w:val="55"/>
                <w:lang w:val="en-GB" w:eastAsia="en-GB"/>
              </w:rPr>
            </w:pPr>
            <w:r w:rsidRPr="000F7D59">
              <w:rPr>
                <w:rFonts w:ascii="ff1" w:eastAsia="Times New Roman" w:hAnsi="ff1" w:cs="Times New Roman"/>
                <w:color w:val="231F20"/>
                <w:sz w:val="55"/>
                <w:szCs w:val="55"/>
                <w:lang w:val="en-GB" w:eastAsia="en-GB"/>
              </w:rPr>
              <w:t>options promote a lack of caution in CEOs that manifests</w:t>
            </w:r>
          </w:p>
          <w:p w14:paraId="51E1CB06" w14:textId="77777777" w:rsidR="00BC53FF" w:rsidRPr="000F7D59" w:rsidRDefault="00BC53FF" w:rsidP="00AE0C64">
            <w:pPr>
              <w:shd w:val="clear" w:color="auto" w:fill="FFFFFF"/>
              <w:spacing w:after="0" w:line="0" w:lineRule="auto"/>
              <w:rPr>
                <w:rFonts w:ascii="ff1" w:eastAsia="Times New Roman" w:hAnsi="ff1" w:cs="Times New Roman"/>
                <w:color w:val="231F20"/>
                <w:sz w:val="55"/>
                <w:szCs w:val="55"/>
                <w:lang w:val="en-GB" w:eastAsia="en-GB"/>
              </w:rPr>
            </w:pPr>
            <w:r w:rsidRPr="000F7D59">
              <w:rPr>
                <w:rFonts w:ascii="ff1" w:eastAsia="Times New Roman" w:hAnsi="ff1" w:cs="Times New Roman"/>
                <w:color w:val="231F20"/>
                <w:sz w:val="55"/>
                <w:szCs w:val="55"/>
                <w:lang w:val="en-GB" w:eastAsia="en-GB"/>
              </w:rPr>
              <w:t>in a higher incidence of product safety problem</w:t>
            </w:r>
          </w:p>
          <w:p w14:paraId="5E368982" w14:textId="77777777" w:rsidR="00BC53FF" w:rsidRPr="000F7D59" w:rsidRDefault="00BC53FF" w:rsidP="00AE0C64">
            <w:pPr>
              <w:pStyle w:val="textbox"/>
              <w:shd w:val="clear" w:color="auto" w:fill="FFFFFF"/>
              <w:spacing w:before="0" w:beforeAutospacing="0" w:after="0" w:afterAutospacing="0"/>
              <w:rPr>
                <w:sz w:val="19"/>
                <w:szCs w:val="19"/>
                <w:lang w:val="en-US"/>
              </w:rPr>
            </w:pPr>
            <w:r w:rsidRPr="000F7D59">
              <w:rPr>
                <w:sz w:val="19"/>
                <w:szCs w:val="19"/>
                <w:lang w:val="en-US"/>
              </w:rPr>
              <w:t>Stock options may increase CEO’s risk-taking (</w:t>
            </w:r>
            <w:proofErr w:type="spellStart"/>
            <w:r w:rsidRPr="000F7D59">
              <w:rPr>
                <w:sz w:val="19"/>
                <w:szCs w:val="19"/>
                <w:lang w:val="en-US"/>
              </w:rPr>
              <w:t>Wowak</w:t>
            </w:r>
            <w:proofErr w:type="spellEnd"/>
            <w:r w:rsidRPr="000F7D59">
              <w:rPr>
                <w:sz w:val="19"/>
                <w:szCs w:val="19"/>
                <w:lang w:val="en-US"/>
              </w:rPr>
              <w:t xml:space="preserve"> et al. 2015). This may affect a firm’s number of product recalls.</w:t>
            </w:r>
          </w:p>
        </w:tc>
      </w:tr>
      <w:tr w:rsidR="00BC53FF" w:rsidRPr="000F7D59" w14:paraId="7305AC4F" w14:textId="77777777" w:rsidTr="00AE0C64">
        <w:trPr>
          <w:trHeight w:val="20"/>
          <w:jc w:val="center"/>
        </w:trPr>
        <w:tc>
          <w:tcPr>
            <w:tcW w:w="2037" w:type="dxa"/>
            <w:tcBorders>
              <w:bottom w:val="single" w:sz="4" w:space="0" w:color="auto"/>
            </w:tcBorders>
          </w:tcPr>
          <w:p w14:paraId="36A1E17E" w14:textId="77777777" w:rsidR="00BC53FF" w:rsidRPr="000F7D59" w:rsidRDefault="00BC53FF" w:rsidP="00AE0C64">
            <w:pPr>
              <w:spacing w:after="0" w:line="240" w:lineRule="auto"/>
              <w:rPr>
                <w:rFonts w:ascii="Times New Roman" w:hAnsi="Times New Roman" w:cs="Times New Roman"/>
                <w:sz w:val="19"/>
                <w:szCs w:val="19"/>
              </w:rPr>
            </w:pPr>
            <w:r w:rsidRPr="000F7D59">
              <w:rPr>
                <w:rFonts w:ascii="Times New Roman" w:hAnsi="Times New Roman" w:cs="Times New Roman"/>
                <w:sz w:val="19"/>
                <w:szCs w:val="19"/>
              </w:rPr>
              <w:t>CEO Age</w:t>
            </w:r>
          </w:p>
        </w:tc>
        <w:tc>
          <w:tcPr>
            <w:tcW w:w="7349" w:type="dxa"/>
            <w:tcBorders>
              <w:bottom w:val="single" w:sz="4" w:space="0" w:color="auto"/>
            </w:tcBorders>
          </w:tcPr>
          <w:p w14:paraId="7B547B28" w14:textId="77777777" w:rsidR="00BC53FF" w:rsidRPr="000F7D59" w:rsidRDefault="00BC53FF" w:rsidP="00AE0C64">
            <w:pPr>
              <w:pStyle w:val="textbox"/>
              <w:shd w:val="clear" w:color="auto" w:fill="FFFFFF"/>
              <w:spacing w:before="0" w:beforeAutospacing="0" w:after="0" w:afterAutospacing="0"/>
              <w:rPr>
                <w:sz w:val="19"/>
                <w:szCs w:val="19"/>
                <w:lang w:val="en-US"/>
              </w:rPr>
            </w:pPr>
            <w:r w:rsidRPr="000F7D59">
              <w:rPr>
                <w:sz w:val="19"/>
                <w:szCs w:val="19"/>
                <w:lang w:val="en-US"/>
              </w:rPr>
              <w:t>Younger CEOs are more likely to experience product recalls (Byun and Al-</w:t>
            </w:r>
            <w:proofErr w:type="spellStart"/>
            <w:r w:rsidRPr="000F7D59">
              <w:rPr>
                <w:sz w:val="19"/>
                <w:szCs w:val="19"/>
                <w:lang w:val="en-US"/>
              </w:rPr>
              <w:t>Shammari</w:t>
            </w:r>
            <w:proofErr w:type="spellEnd"/>
            <w:r w:rsidRPr="000F7D59">
              <w:rPr>
                <w:sz w:val="19"/>
                <w:szCs w:val="19"/>
                <w:lang w:val="en-US"/>
              </w:rPr>
              <w:t xml:space="preserve"> 2021).</w:t>
            </w:r>
          </w:p>
        </w:tc>
      </w:tr>
    </w:tbl>
    <w:p w14:paraId="3BB0396D" w14:textId="77777777" w:rsidR="00BC53FF" w:rsidRPr="000F7D59" w:rsidRDefault="00BC53FF" w:rsidP="00BC53FF">
      <w:pPr>
        <w:rPr>
          <w:rFonts w:ascii="Times New Roman" w:hAnsi="Times New Roman" w:cs="Times New Roman"/>
        </w:rPr>
      </w:pPr>
      <w:r w:rsidRPr="000F7D59">
        <w:rPr>
          <w:rFonts w:ascii="Times New Roman" w:hAnsi="Times New Roman" w:cs="Times New Roman"/>
        </w:rPr>
        <w:t xml:space="preserve"> </w:t>
      </w:r>
    </w:p>
    <w:p w14:paraId="7297E5A2" w14:textId="77777777" w:rsidR="00BC53FF" w:rsidRDefault="00BC53FF" w:rsidP="00BC53FF">
      <w:pPr>
        <w:rPr>
          <w:rFonts w:ascii="Times New Roman" w:hAnsi="Times New Roman" w:cs="Times New Roman"/>
        </w:rPr>
      </w:pPr>
    </w:p>
    <w:p w14:paraId="6E586B66" w14:textId="77777777" w:rsidR="00AE0C64" w:rsidRDefault="00AE0C64" w:rsidP="00BC53FF">
      <w:pPr>
        <w:rPr>
          <w:rFonts w:ascii="Times New Roman" w:hAnsi="Times New Roman" w:cs="Times New Roman"/>
        </w:rPr>
      </w:pPr>
    </w:p>
    <w:p w14:paraId="511D172C" w14:textId="77777777" w:rsidR="00AE0C64" w:rsidRDefault="00AE0C64" w:rsidP="00BC53FF">
      <w:pPr>
        <w:rPr>
          <w:rFonts w:ascii="Times New Roman" w:hAnsi="Times New Roman" w:cs="Times New Roman"/>
        </w:rPr>
      </w:pPr>
    </w:p>
    <w:p w14:paraId="640EDB35" w14:textId="77777777" w:rsidR="00AE0C64" w:rsidRDefault="00AE0C64" w:rsidP="00BC53FF">
      <w:pPr>
        <w:rPr>
          <w:rFonts w:ascii="Times New Roman" w:hAnsi="Times New Roman" w:cs="Times New Roman"/>
        </w:rPr>
      </w:pPr>
    </w:p>
    <w:p w14:paraId="28FC737F" w14:textId="77777777" w:rsidR="00AE0C64" w:rsidRDefault="00AE0C64" w:rsidP="00BC53FF">
      <w:pPr>
        <w:rPr>
          <w:rFonts w:ascii="Times New Roman" w:hAnsi="Times New Roman" w:cs="Times New Roman"/>
        </w:rPr>
      </w:pPr>
    </w:p>
    <w:p w14:paraId="77E7908C" w14:textId="77777777" w:rsidR="00AE0C64" w:rsidRDefault="00AE0C64" w:rsidP="00BC53FF">
      <w:pPr>
        <w:rPr>
          <w:rFonts w:ascii="Times New Roman" w:hAnsi="Times New Roman" w:cs="Times New Roman"/>
        </w:rPr>
      </w:pPr>
    </w:p>
    <w:p w14:paraId="09A13AA8" w14:textId="77777777" w:rsidR="00AE0C64" w:rsidRDefault="00AE0C64" w:rsidP="00BC53FF">
      <w:pPr>
        <w:rPr>
          <w:rFonts w:ascii="Times New Roman" w:hAnsi="Times New Roman" w:cs="Times New Roman"/>
        </w:rPr>
      </w:pPr>
    </w:p>
    <w:p w14:paraId="0953F2CF" w14:textId="77777777" w:rsidR="00AE0C64" w:rsidRPr="000F7D59" w:rsidRDefault="00AE0C64" w:rsidP="00BC53FF">
      <w:pPr>
        <w:rPr>
          <w:rFonts w:ascii="Times New Roman" w:hAnsi="Times New Roman" w:cs="Times New Roman"/>
        </w:rPr>
      </w:pPr>
    </w:p>
    <w:p w14:paraId="48516C4A" w14:textId="77777777" w:rsidR="00BC53FF" w:rsidRPr="000F7D59" w:rsidRDefault="00BC53FF" w:rsidP="00BC53FF">
      <w:pPr>
        <w:rPr>
          <w:rFonts w:ascii="Times New Roman" w:hAnsi="Times New Roman" w:cs="Times New Roman"/>
        </w:rPr>
      </w:pPr>
    </w:p>
    <w:p w14:paraId="76B43735" w14:textId="77777777" w:rsidR="00BC53FF" w:rsidRPr="000F7D59" w:rsidRDefault="00BC53FF" w:rsidP="00BC53FF">
      <w:pPr>
        <w:ind w:right="1513"/>
        <w:rPr>
          <w:rFonts w:ascii="Times New Roman" w:hAnsi="Times New Roman" w:cs="Times New Roman"/>
          <w:i/>
          <w:iCs/>
          <w:sz w:val="20"/>
          <w:szCs w:val="20"/>
        </w:rPr>
      </w:pPr>
    </w:p>
    <w:p w14:paraId="7AB6F4C5" w14:textId="77777777" w:rsidR="00BC53FF" w:rsidRPr="000F7D59" w:rsidRDefault="00BC53FF" w:rsidP="00AE0C64">
      <w:pPr>
        <w:spacing w:after="0" w:line="240" w:lineRule="auto"/>
        <w:jc w:val="center"/>
        <w:rPr>
          <w:rFonts w:ascii="Times New Roman" w:hAnsi="Times New Roman" w:cs="Times New Roman"/>
          <w:sz w:val="24"/>
          <w:szCs w:val="24"/>
        </w:rPr>
      </w:pPr>
      <w:r w:rsidRPr="000F7D59">
        <w:rPr>
          <w:rFonts w:ascii="Times New Roman" w:hAnsi="Times New Roman" w:cs="Times New Roman"/>
          <w:sz w:val="24"/>
          <w:szCs w:val="24"/>
        </w:rPr>
        <w:t>Web Appendix 2</w:t>
      </w:r>
    </w:p>
    <w:p w14:paraId="57D927F8" w14:textId="77777777" w:rsidR="00BC53FF" w:rsidRPr="000F7D59" w:rsidRDefault="00BC53FF" w:rsidP="00BC53FF">
      <w:pPr>
        <w:spacing w:after="0" w:line="240" w:lineRule="auto"/>
        <w:rPr>
          <w:rFonts w:ascii="Times New Roman" w:hAnsi="Times New Roman" w:cs="Times New Roman"/>
          <w:sz w:val="24"/>
          <w:szCs w:val="24"/>
        </w:rPr>
      </w:pPr>
    </w:p>
    <w:p w14:paraId="40DF3F6B" w14:textId="77777777" w:rsidR="00BC53FF" w:rsidRPr="000F7D59" w:rsidRDefault="00BC53FF" w:rsidP="00BC53FF">
      <w:pPr>
        <w:autoSpaceDE w:val="0"/>
        <w:autoSpaceDN w:val="0"/>
        <w:adjustRightInd w:val="0"/>
        <w:spacing w:after="0" w:line="240" w:lineRule="auto"/>
        <w:ind w:right="-613"/>
        <w:rPr>
          <w:rFonts w:ascii="Times New Roman" w:eastAsiaTheme="minorEastAsia" w:hAnsi="Times New Roman" w:cs="Times New Roman"/>
          <w:sz w:val="24"/>
          <w:szCs w:val="24"/>
          <w:lang w:val="en-GB" w:eastAsia="zh-CN"/>
        </w:rPr>
      </w:pPr>
      <w:r w:rsidRPr="000F7D59">
        <w:rPr>
          <w:rFonts w:ascii="Times New Roman" w:eastAsiaTheme="minorEastAsia" w:hAnsi="Times New Roman" w:cs="Times New Roman"/>
          <w:sz w:val="24"/>
          <w:szCs w:val="24"/>
          <w:lang w:val="en-GB" w:eastAsia="zh-CN"/>
        </w:rPr>
        <w:t xml:space="preserve">Table W2.1 </w:t>
      </w:r>
      <w:proofErr w:type="spellStart"/>
      <w:r w:rsidRPr="000F7D59">
        <w:rPr>
          <w:rFonts w:ascii="Times New Roman" w:eastAsiaTheme="minorEastAsia" w:hAnsi="Times New Roman" w:cs="Times New Roman"/>
          <w:sz w:val="24"/>
          <w:szCs w:val="24"/>
          <w:lang w:val="en-GB" w:eastAsia="zh-CN"/>
        </w:rPr>
        <w:t>Descriptives</w:t>
      </w:r>
      <w:proofErr w:type="spellEnd"/>
      <w:r w:rsidRPr="000F7D59">
        <w:rPr>
          <w:rFonts w:ascii="Times New Roman" w:eastAsiaTheme="minorEastAsia" w:hAnsi="Times New Roman" w:cs="Times New Roman"/>
          <w:sz w:val="24"/>
          <w:szCs w:val="24"/>
          <w:lang w:val="en-GB" w:eastAsia="zh-CN"/>
        </w:rPr>
        <w:t xml:space="preserve"> and correlation matrix of marketing department power’s indicators</w:t>
      </w:r>
    </w:p>
    <w:tbl>
      <w:tblPr>
        <w:tblW w:w="8854" w:type="dxa"/>
        <w:jc w:val="center"/>
        <w:tblLayout w:type="fixed"/>
        <w:tblLook w:val="04A0" w:firstRow="1" w:lastRow="0" w:firstColumn="1" w:lastColumn="0" w:noHBand="0" w:noVBand="1"/>
      </w:tblPr>
      <w:tblGrid>
        <w:gridCol w:w="2790"/>
        <w:gridCol w:w="850"/>
        <w:gridCol w:w="1073"/>
        <w:gridCol w:w="708"/>
        <w:gridCol w:w="709"/>
        <w:gridCol w:w="875"/>
        <w:gridCol w:w="848"/>
        <w:gridCol w:w="1001"/>
      </w:tblGrid>
      <w:tr w:rsidR="00BC53FF" w:rsidRPr="000F7D59" w14:paraId="1E5EDFF8" w14:textId="77777777" w:rsidTr="008C71C0">
        <w:trPr>
          <w:trHeight w:val="288"/>
          <w:jc w:val="center"/>
        </w:trPr>
        <w:tc>
          <w:tcPr>
            <w:tcW w:w="2790" w:type="dxa"/>
            <w:tcBorders>
              <w:top w:val="single" w:sz="4" w:space="0" w:color="auto"/>
              <w:left w:val="nil"/>
              <w:bottom w:val="single" w:sz="4" w:space="0" w:color="auto"/>
              <w:right w:val="nil"/>
            </w:tcBorders>
            <w:shd w:val="clear" w:color="auto" w:fill="auto"/>
            <w:noWrap/>
            <w:vAlign w:val="center"/>
            <w:hideMark/>
          </w:tcPr>
          <w:p w14:paraId="4F90BC0B" w14:textId="77777777" w:rsidR="00BC53FF" w:rsidRPr="000F7D59" w:rsidRDefault="00BC53FF" w:rsidP="008C71C0">
            <w:pPr>
              <w:spacing w:after="0" w:line="360" w:lineRule="auto"/>
              <w:jc w:val="center"/>
              <w:rPr>
                <w:rFonts w:ascii="Times New Roman" w:hAnsi="Times New Roman" w:cs="Times New Roman"/>
              </w:rPr>
            </w:pPr>
          </w:p>
        </w:tc>
        <w:tc>
          <w:tcPr>
            <w:tcW w:w="850" w:type="dxa"/>
            <w:tcBorders>
              <w:top w:val="single" w:sz="4" w:space="0" w:color="auto"/>
              <w:left w:val="nil"/>
              <w:bottom w:val="single" w:sz="4" w:space="0" w:color="auto"/>
              <w:right w:val="nil"/>
            </w:tcBorders>
            <w:vAlign w:val="center"/>
          </w:tcPr>
          <w:p w14:paraId="7E8AD978"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Mean</w:t>
            </w:r>
          </w:p>
        </w:tc>
        <w:tc>
          <w:tcPr>
            <w:tcW w:w="1073" w:type="dxa"/>
            <w:tcBorders>
              <w:top w:val="single" w:sz="4" w:space="0" w:color="auto"/>
              <w:left w:val="nil"/>
              <w:bottom w:val="single" w:sz="4" w:space="0" w:color="auto"/>
              <w:right w:val="nil"/>
            </w:tcBorders>
            <w:vAlign w:val="center"/>
          </w:tcPr>
          <w:p w14:paraId="2FC5CAE1" w14:textId="77777777" w:rsidR="00BC53FF" w:rsidRPr="000F7D59" w:rsidRDefault="00BC53FF" w:rsidP="008C71C0">
            <w:pPr>
              <w:spacing w:after="0" w:line="360" w:lineRule="auto"/>
              <w:rPr>
                <w:rFonts w:ascii="Times New Roman" w:hAnsi="Times New Roman" w:cs="Times New Roman"/>
              </w:rPr>
            </w:pPr>
            <w:r w:rsidRPr="000F7D59">
              <w:rPr>
                <w:rFonts w:ascii="Times New Roman" w:hAnsi="Times New Roman" w:cs="Times New Roman"/>
              </w:rPr>
              <w:t>Std. Dev</w:t>
            </w:r>
          </w:p>
        </w:tc>
        <w:tc>
          <w:tcPr>
            <w:tcW w:w="708" w:type="dxa"/>
            <w:tcBorders>
              <w:top w:val="single" w:sz="4" w:space="0" w:color="auto"/>
              <w:left w:val="nil"/>
              <w:bottom w:val="single" w:sz="4" w:space="0" w:color="auto"/>
              <w:right w:val="nil"/>
            </w:tcBorders>
            <w:shd w:val="clear" w:color="auto" w:fill="auto"/>
            <w:noWrap/>
            <w:vAlign w:val="center"/>
            <w:hideMark/>
          </w:tcPr>
          <w:p w14:paraId="5204DDFF"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1.</w:t>
            </w:r>
          </w:p>
        </w:tc>
        <w:tc>
          <w:tcPr>
            <w:tcW w:w="709" w:type="dxa"/>
            <w:tcBorders>
              <w:top w:val="single" w:sz="4" w:space="0" w:color="auto"/>
              <w:left w:val="nil"/>
              <w:bottom w:val="single" w:sz="4" w:space="0" w:color="auto"/>
              <w:right w:val="nil"/>
            </w:tcBorders>
            <w:shd w:val="clear" w:color="auto" w:fill="auto"/>
            <w:noWrap/>
            <w:vAlign w:val="center"/>
            <w:hideMark/>
          </w:tcPr>
          <w:p w14:paraId="1FC56BB0"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2.</w:t>
            </w:r>
          </w:p>
        </w:tc>
        <w:tc>
          <w:tcPr>
            <w:tcW w:w="875" w:type="dxa"/>
            <w:tcBorders>
              <w:top w:val="single" w:sz="4" w:space="0" w:color="auto"/>
              <w:left w:val="nil"/>
              <w:bottom w:val="single" w:sz="4" w:space="0" w:color="auto"/>
              <w:right w:val="nil"/>
            </w:tcBorders>
            <w:shd w:val="clear" w:color="auto" w:fill="auto"/>
            <w:noWrap/>
            <w:vAlign w:val="center"/>
            <w:hideMark/>
          </w:tcPr>
          <w:p w14:paraId="73C0EF90"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3.</w:t>
            </w:r>
          </w:p>
        </w:tc>
        <w:tc>
          <w:tcPr>
            <w:tcW w:w="848" w:type="dxa"/>
            <w:tcBorders>
              <w:top w:val="single" w:sz="4" w:space="0" w:color="auto"/>
              <w:left w:val="nil"/>
              <w:bottom w:val="single" w:sz="4" w:space="0" w:color="auto"/>
              <w:right w:val="nil"/>
            </w:tcBorders>
            <w:shd w:val="clear" w:color="auto" w:fill="auto"/>
            <w:noWrap/>
            <w:vAlign w:val="center"/>
            <w:hideMark/>
          </w:tcPr>
          <w:p w14:paraId="4BB36318"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4.</w:t>
            </w:r>
          </w:p>
        </w:tc>
        <w:tc>
          <w:tcPr>
            <w:tcW w:w="1001" w:type="dxa"/>
            <w:tcBorders>
              <w:top w:val="single" w:sz="4" w:space="0" w:color="auto"/>
              <w:left w:val="nil"/>
              <w:bottom w:val="single" w:sz="4" w:space="0" w:color="auto"/>
              <w:right w:val="nil"/>
            </w:tcBorders>
            <w:shd w:val="clear" w:color="auto" w:fill="auto"/>
            <w:noWrap/>
            <w:vAlign w:val="center"/>
            <w:hideMark/>
          </w:tcPr>
          <w:p w14:paraId="3BED6C41"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5.</w:t>
            </w:r>
          </w:p>
        </w:tc>
      </w:tr>
      <w:tr w:rsidR="00BC53FF" w:rsidRPr="000F7D59" w14:paraId="38A327EA" w14:textId="77777777" w:rsidTr="008C71C0">
        <w:trPr>
          <w:trHeight w:val="255"/>
          <w:jc w:val="center"/>
        </w:trPr>
        <w:tc>
          <w:tcPr>
            <w:tcW w:w="2790" w:type="dxa"/>
            <w:tcBorders>
              <w:top w:val="single" w:sz="4" w:space="0" w:color="auto"/>
              <w:left w:val="nil"/>
              <w:bottom w:val="nil"/>
              <w:right w:val="nil"/>
            </w:tcBorders>
            <w:shd w:val="clear" w:color="auto" w:fill="auto"/>
            <w:noWrap/>
            <w:vAlign w:val="center"/>
            <w:hideMark/>
          </w:tcPr>
          <w:p w14:paraId="38C2E537" w14:textId="77777777" w:rsidR="00BC53FF" w:rsidRPr="000F7D59" w:rsidRDefault="00BC53FF" w:rsidP="008C71C0">
            <w:pPr>
              <w:spacing w:after="0" w:line="360" w:lineRule="auto"/>
              <w:rPr>
                <w:rFonts w:ascii="Times New Roman" w:hAnsi="Times New Roman" w:cs="Times New Roman"/>
              </w:rPr>
            </w:pPr>
          </w:p>
        </w:tc>
        <w:tc>
          <w:tcPr>
            <w:tcW w:w="850" w:type="dxa"/>
            <w:tcBorders>
              <w:top w:val="single" w:sz="4" w:space="0" w:color="auto"/>
              <w:left w:val="nil"/>
              <w:bottom w:val="nil"/>
              <w:right w:val="nil"/>
            </w:tcBorders>
            <w:vAlign w:val="center"/>
          </w:tcPr>
          <w:p w14:paraId="27E04AB2" w14:textId="77777777" w:rsidR="00BC53FF" w:rsidRPr="000F7D59" w:rsidRDefault="00BC53FF" w:rsidP="008C71C0">
            <w:pPr>
              <w:spacing w:after="0" w:line="360" w:lineRule="auto"/>
              <w:jc w:val="center"/>
              <w:rPr>
                <w:rFonts w:ascii="Times New Roman" w:hAnsi="Times New Roman" w:cs="Times New Roman"/>
              </w:rPr>
            </w:pPr>
          </w:p>
        </w:tc>
        <w:tc>
          <w:tcPr>
            <w:tcW w:w="1073" w:type="dxa"/>
            <w:tcBorders>
              <w:top w:val="single" w:sz="4" w:space="0" w:color="auto"/>
              <w:left w:val="nil"/>
              <w:bottom w:val="nil"/>
              <w:right w:val="nil"/>
            </w:tcBorders>
            <w:vAlign w:val="center"/>
          </w:tcPr>
          <w:p w14:paraId="629E4EBA" w14:textId="77777777" w:rsidR="00BC53FF" w:rsidRPr="000F7D59" w:rsidRDefault="00BC53FF" w:rsidP="008C71C0">
            <w:pPr>
              <w:spacing w:after="0" w:line="360" w:lineRule="auto"/>
              <w:jc w:val="center"/>
              <w:rPr>
                <w:rFonts w:ascii="Times New Roman" w:hAnsi="Times New Roman" w:cs="Times New Roman"/>
              </w:rPr>
            </w:pPr>
          </w:p>
        </w:tc>
        <w:tc>
          <w:tcPr>
            <w:tcW w:w="708" w:type="dxa"/>
            <w:tcBorders>
              <w:top w:val="single" w:sz="4" w:space="0" w:color="auto"/>
              <w:left w:val="nil"/>
              <w:bottom w:val="nil"/>
              <w:right w:val="nil"/>
            </w:tcBorders>
            <w:shd w:val="clear" w:color="auto" w:fill="auto"/>
            <w:noWrap/>
            <w:vAlign w:val="center"/>
            <w:hideMark/>
          </w:tcPr>
          <w:p w14:paraId="6E3F1B05" w14:textId="77777777" w:rsidR="00BC53FF" w:rsidRPr="000F7D59" w:rsidRDefault="00BC53FF" w:rsidP="008C71C0">
            <w:pPr>
              <w:spacing w:after="0" w:line="360" w:lineRule="auto"/>
              <w:jc w:val="center"/>
              <w:rPr>
                <w:rFonts w:ascii="Times New Roman" w:hAnsi="Times New Roman" w:cs="Times New Roman"/>
              </w:rPr>
            </w:pPr>
          </w:p>
        </w:tc>
        <w:tc>
          <w:tcPr>
            <w:tcW w:w="709" w:type="dxa"/>
            <w:tcBorders>
              <w:top w:val="single" w:sz="4" w:space="0" w:color="auto"/>
              <w:left w:val="nil"/>
              <w:bottom w:val="nil"/>
              <w:right w:val="nil"/>
            </w:tcBorders>
            <w:shd w:val="clear" w:color="auto" w:fill="auto"/>
            <w:noWrap/>
            <w:vAlign w:val="center"/>
            <w:hideMark/>
          </w:tcPr>
          <w:p w14:paraId="05FC8CC6" w14:textId="77777777" w:rsidR="00BC53FF" w:rsidRPr="000F7D59" w:rsidRDefault="00BC53FF" w:rsidP="008C71C0">
            <w:pPr>
              <w:spacing w:after="0" w:line="360" w:lineRule="auto"/>
              <w:jc w:val="center"/>
              <w:rPr>
                <w:rFonts w:ascii="Times New Roman" w:hAnsi="Times New Roman" w:cs="Times New Roman"/>
              </w:rPr>
            </w:pPr>
          </w:p>
        </w:tc>
        <w:tc>
          <w:tcPr>
            <w:tcW w:w="875" w:type="dxa"/>
            <w:tcBorders>
              <w:top w:val="single" w:sz="4" w:space="0" w:color="auto"/>
              <w:left w:val="nil"/>
              <w:bottom w:val="nil"/>
              <w:right w:val="nil"/>
            </w:tcBorders>
            <w:shd w:val="clear" w:color="auto" w:fill="auto"/>
            <w:noWrap/>
            <w:vAlign w:val="center"/>
            <w:hideMark/>
          </w:tcPr>
          <w:p w14:paraId="44B14871" w14:textId="77777777" w:rsidR="00BC53FF" w:rsidRPr="000F7D59" w:rsidRDefault="00BC53FF" w:rsidP="008C71C0">
            <w:pPr>
              <w:spacing w:after="0" w:line="360" w:lineRule="auto"/>
              <w:jc w:val="center"/>
              <w:rPr>
                <w:rFonts w:ascii="Times New Roman" w:hAnsi="Times New Roman" w:cs="Times New Roman"/>
              </w:rPr>
            </w:pPr>
          </w:p>
        </w:tc>
        <w:tc>
          <w:tcPr>
            <w:tcW w:w="848" w:type="dxa"/>
            <w:tcBorders>
              <w:top w:val="single" w:sz="4" w:space="0" w:color="auto"/>
              <w:left w:val="nil"/>
              <w:bottom w:val="nil"/>
              <w:right w:val="nil"/>
            </w:tcBorders>
            <w:shd w:val="clear" w:color="auto" w:fill="auto"/>
            <w:noWrap/>
            <w:vAlign w:val="center"/>
            <w:hideMark/>
          </w:tcPr>
          <w:p w14:paraId="6034FFF3" w14:textId="77777777" w:rsidR="00BC53FF" w:rsidRPr="000F7D59" w:rsidRDefault="00BC53FF" w:rsidP="008C71C0">
            <w:pPr>
              <w:spacing w:after="0" w:line="360" w:lineRule="auto"/>
              <w:jc w:val="center"/>
              <w:rPr>
                <w:rFonts w:ascii="Times New Roman" w:hAnsi="Times New Roman" w:cs="Times New Roman"/>
              </w:rPr>
            </w:pPr>
          </w:p>
        </w:tc>
        <w:tc>
          <w:tcPr>
            <w:tcW w:w="1001" w:type="dxa"/>
            <w:tcBorders>
              <w:top w:val="single" w:sz="4" w:space="0" w:color="auto"/>
              <w:left w:val="nil"/>
              <w:bottom w:val="nil"/>
              <w:right w:val="nil"/>
            </w:tcBorders>
            <w:shd w:val="clear" w:color="auto" w:fill="auto"/>
            <w:noWrap/>
            <w:vAlign w:val="center"/>
            <w:hideMark/>
          </w:tcPr>
          <w:p w14:paraId="6C4BF281" w14:textId="77777777" w:rsidR="00BC53FF" w:rsidRPr="000F7D59" w:rsidRDefault="00BC53FF" w:rsidP="008C71C0">
            <w:pPr>
              <w:spacing w:after="0" w:line="360" w:lineRule="auto"/>
              <w:jc w:val="center"/>
              <w:rPr>
                <w:rFonts w:ascii="Times New Roman" w:hAnsi="Times New Roman" w:cs="Times New Roman"/>
              </w:rPr>
            </w:pPr>
          </w:p>
        </w:tc>
      </w:tr>
      <w:tr w:rsidR="00BC53FF" w:rsidRPr="000F7D59" w14:paraId="772D34AB" w14:textId="77777777" w:rsidTr="008C71C0">
        <w:trPr>
          <w:trHeight w:val="255"/>
          <w:jc w:val="center"/>
        </w:trPr>
        <w:tc>
          <w:tcPr>
            <w:tcW w:w="2790" w:type="dxa"/>
            <w:tcBorders>
              <w:top w:val="nil"/>
              <w:left w:val="nil"/>
              <w:bottom w:val="nil"/>
              <w:right w:val="nil"/>
            </w:tcBorders>
            <w:shd w:val="clear" w:color="auto" w:fill="auto"/>
            <w:noWrap/>
            <w:vAlign w:val="center"/>
            <w:hideMark/>
          </w:tcPr>
          <w:p w14:paraId="663F08F5" w14:textId="77777777" w:rsidR="00BC53FF" w:rsidRPr="000F7D59" w:rsidRDefault="00BC53FF" w:rsidP="008C71C0">
            <w:pPr>
              <w:spacing w:after="0" w:line="360" w:lineRule="auto"/>
              <w:rPr>
                <w:rFonts w:ascii="Times New Roman" w:hAnsi="Times New Roman" w:cs="Times New Roman"/>
              </w:rPr>
            </w:pPr>
            <w:r w:rsidRPr="000F7D59">
              <w:rPr>
                <w:rFonts w:ascii="Times New Roman" w:hAnsi="Times New Roman" w:cs="Times New Roman"/>
              </w:rPr>
              <w:t>1. Proportion of marketing executives</w:t>
            </w:r>
          </w:p>
        </w:tc>
        <w:tc>
          <w:tcPr>
            <w:tcW w:w="850" w:type="dxa"/>
            <w:tcBorders>
              <w:top w:val="nil"/>
              <w:left w:val="nil"/>
              <w:bottom w:val="nil"/>
              <w:right w:val="nil"/>
            </w:tcBorders>
            <w:vAlign w:val="center"/>
          </w:tcPr>
          <w:p w14:paraId="1B478DC0"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.08</w:t>
            </w:r>
          </w:p>
        </w:tc>
        <w:tc>
          <w:tcPr>
            <w:tcW w:w="1073" w:type="dxa"/>
            <w:tcBorders>
              <w:top w:val="nil"/>
              <w:left w:val="nil"/>
              <w:bottom w:val="nil"/>
              <w:right w:val="nil"/>
            </w:tcBorders>
            <w:vAlign w:val="center"/>
          </w:tcPr>
          <w:p w14:paraId="2315C410"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.12</w:t>
            </w:r>
          </w:p>
        </w:tc>
        <w:tc>
          <w:tcPr>
            <w:tcW w:w="708" w:type="dxa"/>
            <w:tcBorders>
              <w:top w:val="nil"/>
              <w:left w:val="nil"/>
              <w:bottom w:val="nil"/>
              <w:right w:val="nil"/>
            </w:tcBorders>
            <w:shd w:val="clear" w:color="auto" w:fill="auto"/>
            <w:noWrap/>
            <w:vAlign w:val="center"/>
            <w:hideMark/>
          </w:tcPr>
          <w:p w14:paraId="150F4DF7"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1.00</w:t>
            </w:r>
          </w:p>
        </w:tc>
        <w:tc>
          <w:tcPr>
            <w:tcW w:w="709" w:type="dxa"/>
            <w:tcBorders>
              <w:top w:val="nil"/>
              <w:left w:val="nil"/>
              <w:bottom w:val="nil"/>
              <w:right w:val="nil"/>
            </w:tcBorders>
            <w:shd w:val="clear" w:color="auto" w:fill="auto"/>
            <w:noWrap/>
            <w:vAlign w:val="center"/>
            <w:hideMark/>
          </w:tcPr>
          <w:p w14:paraId="072EC065" w14:textId="77777777" w:rsidR="00BC53FF" w:rsidRPr="000F7D59" w:rsidRDefault="00BC53FF" w:rsidP="008C71C0">
            <w:pPr>
              <w:spacing w:after="0" w:line="360" w:lineRule="auto"/>
              <w:jc w:val="center"/>
              <w:rPr>
                <w:rFonts w:ascii="Times New Roman" w:hAnsi="Times New Roman" w:cs="Times New Roman"/>
              </w:rPr>
            </w:pPr>
          </w:p>
        </w:tc>
        <w:tc>
          <w:tcPr>
            <w:tcW w:w="875" w:type="dxa"/>
            <w:tcBorders>
              <w:top w:val="nil"/>
              <w:left w:val="nil"/>
              <w:bottom w:val="nil"/>
              <w:right w:val="nil"/>
            </w:tcBorders>
            <w:shd w:val="clear" w:color="auto" w:fill="auto"/>
            <w:noWrap/>
            <w:vAlign w:val="center"/>
            <w:hideMark/>
          </w:tcPr>
          <w:p w14:paraId="279796FE" w14:textId="77777777" w:rsidR="00BC53FF" w:rsidRPr="000F7D59" w:rsidRDefault="00BC53FF" w:rsidP="008C71C0">
            <w:pPr>
              <w:spacing w:after="0" w:line="360" w:lineRule="auto"/>
              <w:jc w:val="center"/>
              <w:rPr>
                <w:rFonts w:ascii="Times New Roman" w:hAnsi="Times New Roman" w:cs="Times New Roman"/>
              </w:rPr>
            </w:pPr>
          </w:p>
        </w:tc>
        <w:tc>
          <w:tcPr>
            <w:tcW w:w="848" w:type="dxa"/>
            <w:tcBorders>
              <w:top w:val="nil"/>
              <w:left w:val="nil"/>
              <w:bottom w:val="nil"/>
              <w:right w:val="nil"/>
            </w:tcBorders>
            <w:shd w:val="clear" w:color="auto" w:fill="auto"/>
            <w:noWrap/>
            <w:vAlign w:val="center"/>
            <w:hideMark/>
          </w:tcPr>
          <w:p w14:paraId="7D885FDE" w14:textId="77777777" w:rsidR="00BC53FF" w:rsidRPr="000F7D59" w:rsidRDefault="00BC53FF" w:rsidP="008C71C0">
            <w:pPr>
              <w:spacing w:after="0" w:line="360" w:lineRule="auto"/>
              <w:jc w:val="center"/>
              <w:rPr>
                <w:rFonts w:ascii="Times New Roman" w:hAnsi="Times New Roman" w:cs="Times New Roman"/>
              </w:rPr>
            </w:pPr>
          </w:p>
        </w:tc>
        <w:tc>
          <w:tcPr>
            <w:tcW w:w="1001" w:type="dxa"/>
            <w:tcBorders>
              <w:top w:val="nil"/>
              <w:left w:val="nil"/>
              <w:bottom w:val="nil"/>
              <w:right w:val="nil"/>
            </w:tcBorders>
            <w:shd w:val="clear" w:color="auto" w:fill="auto"/>
            <w:noWrap/>
            <w:vAlign w:val="center"/>
            <w:hideMark/>
          </w:tcPr>
          <w:p w14:paraId="73D2C06E" w14:textId="77777777" w:rsidR="00BC53FF" w:rsidRPr="000F7D59" w:rsidRDefault="00BC53FF" w:rsidP="008C71C0">
            <w:pPr>
              <w:spacing w:after="0" w:line="360" w:lineRule="auto"/>
              <w:jc w:val="center"/>
              <w:rPr>
                <w:rFonts w:ascii="Times New Roman" w:hAnsi="Times New Roman" w:cs="Times New Roman"/>
              </w:rPr>
            </w:pPr>
          </w:p>
        </w:tc>
      </w:tr>
      <w:tr w:rsidR="00BC53FF" w:rsidRPr="000F7D59" w14:paraId="3C98DE2D" w14:textId="77777777" w:rsidTr="008C71C0">
        <w:trPr>
          <w:trHeight w:val="255"/>
          <w:jc w:val="center"/>
        </w:trPr>
        <w:tc>
          <w:tcPr>
            <w:tcW w:w="2790" w:type="dxa"/>
            <w:tcBorders>
              <w:top w:val="nil"/>
              <w:left w:val="nil"/>
              <w:bottom w:val="nil"/>
              <w:right w:val="nil"/>
            </w:tcBorders>
            <w:shd w:val="clear" w:color="auto" w:fill="auto"/>
            <w:noWrap/>
            <w:vAlign w:val="center"/>
            <w:hideMark/>
          </w:tcPr>
          <w:p w14:paraId="1C4A75F1" w14:textId="77777777" w:rsidR="00BC53FF" w:rsidRPr="000F7D59" w:rsidRDefault="00BC53FF" w:rsidP="008C71C0">
            <w:pPr>
              <w:spacing w:after="0" w:line="360" w:lineRule="auto"/>
              <w:rPr>
                <w:rFonts w:ascii="Times New Roman" w:hAnsi="Times New Roman" w:cs="Times New Roman"/>
              </w:rPr>
            </w:pPr>
            <w:r w:rsidRPr="000F7D59">
              <w:rPr>
                <w:rFonts w:ascii="Times New Roman" w:hAnsi="Times New Roman" w:cs="Times New Roman"/>
              </w:rPr>
              <w:t>2. Proportion of marketing executives’ pay</w:t>
            </w:r>
          </w:p>
        </w:tc>
        <w:tc>
          <w:tcPr>
            <w:tcW w:w="850" w:type="dxa"/>
            <w:tcBorders>
              <w:top w:val="nil"/>
              <w:left w:val="nil"/>
              <w:bottom w:val="nil"/>
              <w:right w:val="nil"/>
            </w:tcBorders>
            <w:vAlign w:val="center"/>
          </w:tcPr>
          <w:p w14:paraId="6F9B4EBA"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.06</w:t>
            </w:r>
          </w:p>
        </w:tc>
        <w:tc>
          <w:tcPr>
            <w:tcW w:w="1073" w:type="dxa"/>
            <w:tcBorders>
              <w:top w:val="nil"/>
              <w:left w:val="nil"/>
              <w:bottom w:val="nil"/>
              <w:right w:val="nil"/>
            </w:tcBorders>
            <w:vAlign w:val="center"/>
          </w:tcPr>
          <w:p w14:paraId="34282DE8"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.09</w:t>
            </w:r>
          </w:p>
        </w:tc>
        <w:tc>
          <w:tcPr>
            <w:tcW w:w="708" w:type="dxa"/>
            <w:tcBorders>
              <w:top w:val="nil"/>
              <w:left w:val="nil"/>
              <w:bottom w:val="nil"/>
              <w:right w:val="nil"/>
            </w:tcBorders>
            <w:shd w:val="clear" w:color="auto" w:fill="auto"/>
            <w:noWrap/>
            <w:vAlign w:val="center"/>
            <w:hideMark/>
          </w:tcPr>
          <w:p w14:paraId="0475EC56"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.89*</w:t>
            </w:r>
          </w:p>
        </w:tc>
        <w:tc>
          <w:tcPr>
            <w:tcW w:w="709" w:type="dxa"/>
            <w:tcBorders>
              <w:top w:val="nil"/>
              <w:left w:val="nil"/>
              <w:bottom w:val="nil"/>
              <w:right w:val="nil"/>
            </w:tcBorders>
            <w:shd w:val="clear" w:color="auto" w:fill="auto"/>
            <w:noWrap/>
            <w:vAlign w:val="center"/>
            <w:hideMark/>
          </w:tcPr>
          <w:p w14:paraId="3AF8448F"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1.00</w:t>
            </w:r>
          </w:p>
        </w:tc>
        <w:tc>
          <w:tcPr>
            <w:tcW w:w="875" w:type="dxa"/>
            <w:tcBorders>
              <w:top w:val="nil"/>
              <w:left w:val="nil"/>
              <w:bottom w:val="nil"/>
              <w:right w:val="nil"/>
            </w:tcBorders>
            <w:shd w:val="clear" w:color="auto" w:fill="auto"/>
            <w:noWrap/>
            <w:vAlign w:val="center"/>
            <w:hideMark/>
          </w:tcPr>
          <w:p w14:paraId="616AE6F5" w14:textId="77777777" w:rsidR="00BC53FF" w:rsidRPr="000F7D59" w:rsidRDefault="00BC53FF" w:rsidP="008C71C0">
            <w:pPr>
              <w:spacing w:after="0" w:line="360" w:lineRule="auto"/>
              <w:jc w:val="center"/>
              <w:rPr>
                <w:rFonts w:ascii="Times New Roman" w:hAnsi="Times New Roman" w:cs="Times New Roman"/>
              </w:rPr>
            </w:pPr>
          </w:p>
        </w:tc>
        <w:tc>
          <w:tcPr>
            <w:tcW w:w="848" w:type="dxa"/>
            <w:tcBorders>
              <w:top w:val="nil"/>
              <w:left w:val="nil"/>
              <w:bottom w:val="nil"/>
              <w:right w:val="nil"/>
            </w:tcBorders>
            <w:shd w:val="clear" w:color="auto" w:fill="auto"/>
            <w:noWrap/>
            <w:vAlign w:val="center"/>
            <w:hideMark/>
          </w:tcPr>
          <w:p w14:paraId="5D2B2A01" w14:textId="77777777" w:rsidR="00BC53FF" w:rsidRPr="000F7D59" w:rsidRDefault="00BC53FF" w:rsidP="008C71C0">
            <w:pPr>
              <w:spacing w:after="0" w:line="360" w:lineRule="auto"/>
              <w:jc w:val="center"/>
              <w:rPr>
                <w:rFonts w:ascii="Times New Roman" w:hAnsi="Times New Roman" w:cs="Times New Roman"/>
              </w:rPr>
            </w:pPr>
          </w:p>
        </w:tc>
        <w:tc>
          <w:tcPr>
            <w:tcW w:w="1001" w:type="dxa"/>
            <w:tcBorders>
              <w:top w:val="nil"/>
              <w:left w:val="nil"/>
              <w:bottom w:val="nil"/>
              <w:right w:val="nil"/>
            </w:tcBorders>
            <w:shd w:val="clear" w:color="auto" w:fill="auto"/>
            <w:noWrap/>
            <w:vAlign w:val="center"/>
            <w:hideMark/>
          </w:tcPr>
          <w:p w14:paraId="5BF762DF" w14:textId="77777777" w:rsidR="00BC53FF" w:rsidRPr="000F7D59" w:rsidRDefault="00BC53FF" w:rsidP="008C71C0">
            <w:pPr>
              <w:spacing w:after="0" w:line="360" w:lineRule="auto"/>
              <w:jc w:val="center"/>
              <w:rPr>
                <w:rFonts w:ascii="Times New Roman" w:hAnsi="Times New Roman" w:cs="Times New Roman"/>
              </w:rPr>
            </w:pPr>
          </w:p>
        </w:tc>
      </w:tr>
      <w:tr w:rsidR="00BC53FF" w:rsidRPr="000F7D59" w14:paraId="515673F6" w14:textId="77777777" w:rsidTr="008C71C0">
        <w:trPr>
          <w:trHeight w:val="255"/>
          <w:jc w:val="center"/>
        </w:trPr>
        <w:tc>
          <w:tcPr>
            <w:tcW w:w="2790" w:type="dxa"/>
            <w:tcBorders>
              <w:top w:val="nil"/>
              <w:left w:val="nil"/>
              <w:bottom w:val="nil"/>
              <w:right w:val="nil"/>
            </w:tcBorders>
            <w:shd w:val="clear" w:color="auto" w:fill="auto"/>
            <w:noWrap/>
            <w:vAlign w:val="center"/>
            <w:hideMark/>
          </w:tcPr>
          <w:p w14:paraId="4F904408" w14:textId="77777777" w:rsidR="00BC53FF" w:rsidRPr="000F7D59" w:rsidRDefault="00BC53FF" w:rsidP="008C71C0">
            <w:pPr>
              <w:spacing w:after="0" w:line="360" w:lineRule="auto"/>
              <w:rPr>
                <w:rFonts w:ascii="Times New Roman" w:hAnsi="Times New Roman" w:cs="Times New Roman"/>
              </w:rPr>
            </w:pPr>
            <w:r w:rsidRPr="000F7D59">
              <w:rPr>
                <w:rFonts w:ascii="Times New Roman" w:hAnsi="Times New Roman" w:cs="Times New Roman"/>
              </w:rPr>
              <w:t>3. Highest ranking of marketing executives</w:t>
            </w:r>
          </w:p>
        </w:tc>
        <w:tc>
          <w:tcPr>
            <w:tcW w:w="850" w:type="dxa"/>
            <w:tcBorders>
              <w:top w:val="nil"/>
              <w:left w:val="nil"/>
              <w:bottom w:val="nil"/>
              <w:right w:val="nil"/>
            </w:tcBorders>
            <w:vAlign w:val="center"/>
          </w:tcPr>
          <w:p w14:paraId="6C8EBF05"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2.15</w:t>
            </w:r>
          </w:p>
        </w:tc>
        <w:tc>
          <w:tcPr>
            <w:tcW w:w="1073" w:type="dxa"/>
            <w:tcBorders>
              <w:top w:val="nil"/>
              <w:left w:val="nil"/>
              <w:bottom w:val="nil"/>
              <w:right w:val="nil"/>
            </w:tcBorders>
            <w:vAlign w:val="center"/>
          </w:tcPr>
          <w:p w14:paraId="3B431409"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1.64</w:t>
            </w:r>
          </w:p>
        </w:tc>
        <w:tc>
          <w:tcPr>
            <w:tcW w:w="708" w:type="dxa"/>
            <w:tcBorders>
              <w:top w:val="nil"/>
              <w:left w:val="nil"/>
              <w:bottom w:val="nil"/>
              <w:right w:val="nil"/>
            </w:tcBorders>
            <w:shd w:val="clear" w:color="auto" w:fill="auto"/>
            <w:noWrap/>
            <w:vAlign w:val="center"/>
            <w:hideMark/>
          </w:tcPr>
          <w:p w14:paraId="1764626E"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.81*</w:t>
            </w:r>
          </w:p>
        </w:tc>
        <w:tc>
          <w:tcPr>
            <w:tcW w:w="709" w:type="dxa"/>
            <w:tcBorders>
              <w:top w:val="nil"/>
              <w:left w:val="nil"/>
              <w:bottom w:val="nil"/>
              <w:right w:val="nil"/>
            </w:tcBorders>
            <w:shd w:val="clear" w:color="auto" w:fill="auto"/>
            <w:noWrap/>
            <w:vAlign w:val="center"/>
            <w:hideMark/>
          </w:tcPr>
          <w:p w14:paraId="0120E28B"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.74*</w:t>
            </w:r>
          </w:p>
        </w:tc>
        <w:tc>
          <w:tcPr>
            <w:tcW w:w="875" w:type="dxa"/>
            <w:tcBorders>
              <w:top w:val="nil"/>
              <w:left w:val="nil"/>
              <w:bottom w:val="nil"/>
              <w:right w:val="nil"/>
            </w:tcBorders>
            <w:shd w:val="clear" w:color="auto" w:fill="auto"/>
            <w:noWrap/>
            <w:vAlign w:val="center"/>
            <w:hideMark/>
          </w:tcPr>
          <w:p w14:paraId="659F9409"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1.00</w:t>
            </w:r>
          </w:p>
        </w:tc>
        <w:tc>
          <w:tcPr>
            <w:tcW w:w="848" w:type="dxa"/>
            <w:tcBorders>
              <w:top w:val="nil"/>
              <w:left w:val="nil"/>
              <w:bottom w:val="nil"/>
              <w:right w:val="nil"/>
            </w:tcBorders>
            <w:shd w:val="clear" w:color="auto" w:fill="auto"/>
            <w:noWrap/>
            <w:vAlign w:val="center"/>
            <w:hideMark/>
          </w:tcPr>
          <w:p w14:paraId="35FEF730" w14:textId="77777777" w:rsidR="00BC53FF" w:rsidRPr="000F7D59" w:rsidRDefault="00BC53FF" w:rsidP="008C71C0">
            <w:pPr>
              <w:spacing w:after="0" w:line="360" w:lineRule="auto"/>
              <w:jc w:val="center"/>
              <w:rPr>
                <w:rFonts w:ascii="Times New Roman" w:hAnsi="Times New Roman" w:cs="Times New Roman"/>
              </w:rPr>
            </w:pPr>
          </w:p>
        </w:tc>
        <w:tc>
          <w:tcPr>
            <w:tcW w:w="1001" w:type="dxa"/>
            <w:tcBorders>
              <w:top w:val="nil"/>
              <w:left w:val="nil"/>
              <w:bottom w:val="nil"/>
              <w:right w:val="nil"/>
            </w:tcBorders>
            <w:shd w:val="clear" w:color="auto" w:fill="auto"/>
            <w:noWrap/>
            <w:vAlign w:val="center"/>
            <w:hideMark/>
          </w:tcPr>
          <w:p w14:paraId="115DAA2E" w14:textId="77777777" w:rsidR="00BC53FF" w:rsidRPr="000F7D59" w:rsidRDefault="00BC53FF" w:rsidP="008C71C0">
            <w:pPr>
              <w:spacing w:after="0" w:line="360" w:lineRule="auto"/>
              <w:jc w:val="center"/>
              <w:rPr>
                <w:rFonts w:ascii="Times New Roman" w:hAnsi="Times New Roman" w:cs="Times New Roman"/>
              </w:rPr>
            </w:pPr>
          </w:p>
        </w:tc>
      </w:tr>
      <w:tr w:rsidR="00BC53FF" w:rsidRPr="000F7D59" w14:paraId="095461D0" w14:textId="77777777" w:rsidTr="008C71C0">
        <w:trPr>
          <w:trHeight w:val="255"/>
          <w:jc w:val="center"/>
        </w:trPr>
        <w:tc>
          <w:tcPr>
            <w:tcW w:w="2790" w:type="dxa"/>
            <w:tcBorders>
              <w:top w:val="nil"/>
              <w:left w:val="nil"/>
              <w:bottom w:val="nil"/>
              <w:right w:val="nil"/>
            </w:tcBorders>
            <w:shd w:val="clear" w:color="auto" w:fill="auto"/>
            <w:noWrap/>
            <w:vAlign w:val="center"/>
            <w:hideMark/>
          </w:tcPr>
          <w:p w14:paraId="7CAB889E" w14:textId="77777777" w:rsidR="00BC53FF" w:rsidRPr="000F7D59" w:rsidRDefault="00BC53FF" w:rsidP="008C71C0">
            <w:pPr>
              <w:spacing w:after="0" w:line="360" w:lineRule="auto"/>
              <w:rPr>
                <w:rFonts w:ascii="Times New Roman" w:hAnsi="Times New Roman" w:cs="Times New Roman"/>
              </w:rPr>
            </w:pPr>
            <w:r w:rsidRPr="000F7D59">
              <w:rPr>
                <w:rFonts w:ascii="Times New Roman" w:hAnsi="Times New Roman" w:cs="Times New Roman"/>
              </w:rPr>
              <w:t>4. Cumulative ranking of marketing executives</w:t>
            </w:r>
          </w:p>
        </w:tc>
        <w:tc>
          <w:tcPr>
            <w:tcW w:w="850" w:type="dxa"/>
            <w:tcBorders>
              <w:top w:val="nil"/>
              <w:left w:val="nil"/>
              <w:bottom w:val="nil"/>
              <w:right w:val="nil"/>
            </w:tcBorders>
            <w:vAlign w:val="center"/>
          </w:tcPr>
          <w:p w14:paraId="5BA516F3"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2.38</w:t>
            </w:r>
          </w:p>
        </w:tc>
        <w:tc>
          <w:tcPr>
            <w:tcW w:w="1073" w:type="dxa"/>
            <w:tcBorders>
              <w:top w:val="nil"/>
              <w:left w:val="nil"/>
              <w:bottom w:val="nil"/>
              <w:right w:val="nil"/>
            </w:tcBorders>
            <w:vAlign w:val="center"/>
          </w:tcPr>
          <w:p w14:paraId="676E445D"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2.13</w:t>
            </w:r>
          </w:p>
        </w:tc>
        <w:tc>
          <w:tcPr>
            <w:tcW w:w="708" w:type="dxa"/>
            <w:tcBorders>
              <w:top w:val="nil"/>
              <w:left w:val="nil"/>
              <w:bottom w:val="nil"/>
              <w:right w:val="nil"/>
            </w:tcBorders>
            <w:shd w:val="clear" w:color="auto" w:fill="auto"/>
            <w:noWrap/>
            <w:vAlign w:val="center"/>
            <w:hideMark/>
          </w:tcPr>
          <w:p w14:paraId="0C4186B2"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.90*</w:t>
            </w:r>
          </w:p>
        </w:tc>
        <w:tc>
          <w:tcPr>
            <w:tcW w:w="709" w:type="dxa"/>
            <w:tcBorders>
              <w:top w:val="nil"/>
              <w:left w:val="nil"/>
              <w:bottom w:val="nil"/>
              <w:right w:val="nil"/>
            </w:tcBorders>
            <w:shd w:val="clear" w:color="auto" w:fill="auto"/>
            <w:noWrap/>
            <w:vAlign w:val="center"/>
            <w:hideMark/>
          </w:tcPr>
          <w:p w14:paraId="48D90526"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.81*</w:t>
            </w:r>
          </w:p>
        </w:tc>
        <w:tc>
          <w:tcPr>
            <w:tcW w:w="875" w:type="dxa"/>
            <w:tcBorders>
              <w:top w:val="nil"/>
              <w:left w:val="nil"/>
              <w:bottom w:val="nil"/>
              <w:right w:val="nil"/>
            </w:tcBorders>
            <w:shd w:val="clear" w:color="auto" w:fill="auto"/>
            <w:noWrap/>
            <w:vAlign w:val="center"/>
            <w:hideMark/>
          </w:tcPr>
          <w:p w14:paraId="48A75C45"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.90*</w:t>
            </w:r>
          </w:p>
        </w:tc>
        <w:tc>
          <w:tcPr>
            <w:tcW w:w="848" w:type="dxa"/>
            <w:tcBorders>
              <w:top w:val="nil"/>
              <w:left w:val="nil"/>
              <w:bottom w:val="nil"/>
              <w:right w:val="nil"/>
            </w:tcBorders>
            <w:shd w:val="clear" w:color="auto" w:fill="auto"/>
            <w:noWrap/>
            <w:vAlign w:val="center"/>
            <w:hideMark/>
          </w:tcPr>
          <w:p w14:paraId="578B9842"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1.00</w:t>
            </w:r>
          </w:p>
        </w:tc>
        <w:tc>
          <w:tcPr>
            <w:tcW w:w="1001" w:type="dxa"/>
            <w:tcBorders>
              <w:top w:val="nil"/>
              <w:left w:val="nil"/>
              <w:bottom w:val="nil"/>
              <w:right w:val="nil"/>
            </w:tcBorders>
            <w:shd w:val="clear" w:color="auto" w:fill="auto"/>
            <w:noWrap/>
            <w:vAlign w:val="center"/>
            <w:hideMark/>
          </w:tcPr>
          <w:p w14:paraId="215D09F9" w14:textId="77777777" w:rsidR="00BC53FF" w:rsidRPr="000F7D59" w:rsidRDefault="00BC53FF" w:rsidP="008C71C0">
            <w:pPr>
              <w:spacing w:after="0" w:line="360" w:lineRule="auto"/>
              <w:jc w:val="center"/>
              <w:rPr>
                <w:rFonts w:ascii="Times New Roman" w:hAnsi="Times New Roman" w:cs="Times New Roman"/>
              </w:rPr>
            </w:pPr>
          </w:p>
        </w:tc>
      </w:tr>
      <w:tr w:rsidR="00BC53FF" w:rsidRPr="000F7D59" w14:paraId="5BC6DE94" w14:textId="77777777" w:rsidTr="008C71C0">
        <w:trPr>
          <w:trHeight w:val="255"/>
          <w:jc w:val="center"/>
        </w:trPr>
        <w:tc>
          <w:tcPr>
            <w:tcW w:w="2790" w:type="dxa"/>
            <w:tcBorders>
              <w:top w:val="nil"/>
              <w:left w:val="nil"/>
              <w:bottom w:val="nil"/>
              <w:right w:val="nil"/>
            </w:tcBorders>
            <w:shd w:val="clear" w:color="auto" w:fill="auto"/>
            <w:noWrap/>
            <w:vAlign w:val="center"/>
            <w:hideMark/>
          </w:tcPr>
          <w:p w14:paraId="05391F90" w14:textId="77777777" w:rsidR="00BC53FF" w:rsidRPr="000F7D59" w:rsidRDefault="00BC53FF" w:rsidP="008C71C0">
            <w:pPr>
              <w:spacing w:after="0" w:line="360" w:lineRule="auto"/>
              <w:rPr>
                <w:rFonts w:ascii="Times New Roman" w:hAnsi="Times New Roman" w:cs="Times New Roman"/>
              </w:rPr>
            </w:pPr>
            <w:r w:rsidRPr="000F7D59">
              <w:rPr>
                <w:rFonts w:ascii="Times New Roman" w:hAnsi="Times New Roman" w:cs="Times New Roman"/>
              </w:rPr>
              <w:t>5. Cumulative responsibilities of marketing executives</w:t>
            </w:r>
          </w:p>
        </w:tc>
        <w:tc>
          <w:tcPr>
            <w:tcW w:w="850" w:type="dxa"/>
            <w:tcBorders>
              <w:top w:val="nil"/>
              <w:left w:val="nil"/>
              <w:bottom w:val="nil"/>
              <w:right w:val="nil"/>
            </w:tcBorders>
            <w:vAlign w:val="center"/>
          </w:tcPr>
          <w:p w14:paraId="7B7C9739"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.77</w:t>
            </w:r>
          </w:p>
        </w:tc>
        <w:tc>
          <w:tcPr>
            <w:tcW w:w="1073" w:type="dxa"/>
            <w:tcBorders>
              <w:top w:val="nil"/>
              <w:left w:val="nil"/>
              <w:bottom w:val="nil"/>
              <w:right w:val="nil"/>
            </w:tcBorders>
            <w:vAlign w:val="center"/>
          </w:tcPr>
          <w:p w14:paraId="75C26395"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1.18</w:t>
            </w:r>
          </w:p>
        </w:tc>
        <w:tc>
          <w:tcPr>
            <w:tcW w:w="708" w:type="dxa"/>
            <w:tcBorders>
              <w:top w:val="nil"/>
              <w:left w:val="nil"/>
              <w:bottom w:val="nil"/>
              <w:right w:val="nil"/>
            </w:tcBorders>
            <w:shd w:val="clear" w:color="auto" w:fill="auto"/>
            <w:noWrap/>
            <w:vAlign w:val="center"/>
            <w:hideMark/>
          </w:tcPr>
          <w:p w14:paraId="3D735153"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.82*</w:t>
            </w:r>
          </w:p>
        </w:tc>
        <w:tc>
          <w:tcPr>
            <w:tcW w:w="709" w:type="dxa"/>
            <w:tcBorders>
              <w:top w:val="nil"/>
              <w:left w:val="nil"/>
              <w:bottom w:val="nil"/>
              <w:right w:val="nil"/>
            </w:tcBorders>
            <w:shd w:val="clear" w:color="auto" w:fill="auto"/>
            <w:noWrap/>
            <w:vAlign w:val="center"/>
            <w:hideMark/>
          </w:tcPr>
          <w:p w14:paraId="0C03C348"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.74*</w:t>
            </w:r>
          </w:p>
        </w:tc>
        <w:tc>
          <w:tcPr>
            <w:tcW w:w="875" w:type="dxa"/>
            <w:tcBorders>
              <w:top w:val="nil"/>
              <w:left w:val="nil"/>
              <w:bottom w:val="nil"/>
              <w:right w:val="nil"/>
            </w:tcBorders>
            <w:shd w:val="clear" w:color="auto" w:fill="auto"/>
            <w:noWrap/>
            <w:vAlign w:val="center"/>
            <w:hideMark/>
          </w:tcPr>
          <w:p w14:paraId="07676ABD"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.82*</w:t>
            </w:r>
          </w:p>
        </w:tc>
        <w:tc>
          <w:tcPr>
            <w:tcW w:w="848" w:type="dxa"/>
            <w:tcBorders>
              <w:top w:val="nil"/>
              <w:left w:val="nil"/>
              <w:bottom w:val="nil"/>
              <w:right w:val="nil"/>
            </w:tcBorders>
            <w:shd w:val="clear" w:color="auto" w:fill="auto"/>
            <w:noWrap/>
            <w:vAlign w:val="center"/>
            <w:hideMark/>
          </w:tcPr>
          <w:p w14:paraId="25769660"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.85*</w:t>
            </w:r>
          </w:p>
        </w:tc>
        <w:tc>
          <w:tcPr>
            <w:tcW w:w="1001" w:type="dxa"/>
            <w:tcBorders>
              <w:top w:val="nil"/>
              <w:left w:val="nil"/>
              <w:bottom w:val="nil"/>
              <w:right w:val="nil"/>
            </w:tcBorders>
            <w:shd w:val="clear" w:color="auto" w:fill="auto"/>
            <w:noWrap/>
            <w:vAlign w:val="center"/>
            <w:hideMark/>
          </w:tcPr>
          <w:p w14:paraId="51739FD0"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1.00</w:t>
            </w:r>
          </w:p>
        </w:tc>
      </w:tr>
      <w:tr w:rsidR="00BC53FF" w:rsidRPr="000F7D59" w14:paraId="4F1183D8" w14:textId="77777777" w:rsidTr="008C71C0">
        <w:trPr>
          <w:trHeight w:val="255"/>
          <w:jc w:val="center"/>
        </w:trPr>
        <w:tc>
          <w:tcPr>
            <w:tcW w:w="2790" w:type="dxa"/>
            <w:tcBorders>
              <w:top w:val="nil"/>
              <w:left w:val="nil"/>
              <w:bottom w:val="single" w:sz="4" w:space="0" w:color="auto"/>
              <w:right w:val="nil"/>
            </w:tcBorders>
            <w:shd w:val="clear" w:color="auto" w:fill="auto"/>
            <w:noWrap/>
            <w:vAlign w:val="center"/>
          </w:tcPr>
          <w:p w14:paraId="7755C2CE" w14:textId="77777777" w:rsidR="00BC53FF" w:rsidRPr="000F7D59" w:rsidRDefault="00BC53FF" w:rsidP="008C71C0">
            <w:pPr>
              <w:spacing w:after="0" w:line="360" w:lineRule="auto"/>
              <w:rPr>
                <w:rFonts w:ascii="Times New Roman" w:hAnsi="Times New Roman" w:cs="Times New Roman"/>
              </w:rPr>
            </w:pPr>
          </w:p>
        </w:tc>
        <w:tc>
          <w:tcPr>
            <w:tcW w:w="850" w:type="dxa"/>
            <w:tcBorders>
              <w:top w:val="nil"/>
              <w:left w:val="nil"/>
              <w:bottom w:val="single" w:sz="4" w:space="0" w:color="auto"/>
              <w:right w:val="nil"/>
            </w:tcBorders>
            <w:vAlign w:val="center"/>
          </w:tcPr>
          <w:p w14:paraId="301F6062" w14:textId="77777777" w:rsidR="00BC53FF" w:rsidRPr="000F7D59" w:rsidRDefault="00BC53FF" w:rsidP="008C71C0">
            <w:pPr>
              <w:spacing w:after="0" w:line="360" w:lineRule="auto"/>
              <w:jc w:val="center"/>
              <w:rPr>
                <w:rFonts w:ascii="Times New Roman" w:hAnsi="Times New Roman" w:cs="Times New Roman"/>
              </w:rPr>
            </w:pPr>
          </w:p>
        </w:tc>
        <w:tc>
          <w:tcPr>
            <w:tcW w:w="1073" w:type="dxa"/>
            <w:tcBorders>
              <w:top w:val="nil"/>
              <w:left w:val="nil"/>
              <w:bottom w:val="single" w:sz="4" w:space="0" w:color="auto"/>
              <w:right w:val="nil"/>
            </w:tcBorders>
            <w:vAlign w:val="center"/>
          </w:tcPr>
          <w:p w14:paraId="3EC159B5" w14:textId="77777777" w:rsidR="00BC53FF" w:rsidRPr="000F7D59" w:rsidRDefault="00BC53FF" w:rsidP="008C71C0">
            <w:pPr>
              <w:spacing w:after="0" w:line="360" w:lineRule="auto"/>
              <w:jc w:val="center"/>
              <w:rPr>
                <w:rFonts w:ascii="Times New Roman" w:hAnsi="Times New Roman" w:cs="Times New Roman"/>
              </w:rPr>
            </w:pPr>
          </w:p>
        </w:tc>
        <w:tc>
          <w:tcPr>
            <w:tcW w:w="708" w:type="dxa"/>
            <w:tcBorders>
              <w:top w:val="nil"/>
              <w:left w:val="nil"/>
              <w:bottom w:val="single" w:sz="4" w:space="0" w:color="auto"/>
              <w:right w:val="nil"/>
            </w:tcBorders>
            <w:shd w:val="clear" w:color="auto" w:fill="auto"/>
            <w:noWrap/>
            <w:vAlign w:val="center"/>
          </w:tcPr>
          <w:p w14:paraId="1A9B40E2" w14:textId="77777777" w:rsidR="00BC53FF" w:rsidRPr="000F7D59" w:rsidRDefault="00BC53FF" w:rsidP="008C71C0">
            <w:pPr>
              <w:spacing w:after="0" w:line="360" w:lineRule="auto"/>
              <w:jc w:val="center"/>
              <w:rPr>
                <w:rFonts w:ascii="Times New Roman" w:hAnsi="Times New Roman" w:cs="Times New Roman"/>
              </w:rPr>
            </w:pPr>
          </w:p>
        </w:tc>
        <w:tc>
          <w:tcPr>
            <w:tcW w:w="709" w:type="dxa"/>
            <w:tcBorders>
              <w:top w:val="nil"/>
              <w:left w:val="nil"/>
              <w:bottom w:val="single" w:sz="4" w:space="0" w:color="auto"/>
              <w:right w:val="nil"/>
            </w:tcBorders>
            <w:shd w:val="clear" w:color="auto" w:fill="auto"/>
            <w:noWrap/>
            <w:vAlign w:val="center"/>
          </w:tcPr>
          <w:p w14:paraId="5114E68E" w14:textId="77777777" w:rsidR="00BC53FF" w:rsidRPr="000F7D59" w:rsidRDefault="00BC53FF" w:rsidP="008C71C0">
            <w:pPr>
              <w:spacing w:after="0" w:line="360" w:lineRule="auto"/>
              <w:jc w:val="center"/>
              <w:rPr>
                <w:rFonts w:ascii="Times New Roman" w:hAnsi="Times New Roman" w:cs="Times New Roman"/>
              </w:rPr>
            </w:pPr>
          </w:p>
        </w:tc>
        <w:tc>
          <w:tcPr>
            <w:tcW w:w="875" w:type="dxa"/>
            <w:tcBorders>
              <w:top w:val="nil"/>
              <w:left w:val="nil"/>
              <w:bottom w:val="single" w:sz="4" w:space="0" w:color="auto"/>
              <w:right w:val="nil"/>
            </w:tcBorders>
            <w:shd w:val="clear" w:color="auto" w:fill="auto"/>
            <w:noWrap/>
            <w:vAlign w:val="center"/>
          </w:tcPr>
          <w:p w14:paraId="29DDC83A" w14:textId="77777777" w:rsidR="00BC53FF" w:rsidRPr="000F7D59" w:rsidRDefault="00BC53FF" w:rsidP="008C71C0">
            <w:pPr>
              <w:spacing w:after="0" w:line="360" w:lineRule="auto"/>
              <w:jc w:val="center"/>
              <w:rPr>
                <w:rFonts w:ascii="Times New Roman" w:hAnsi="Times New Roman" w:cs="Times New Roman"/>
              </w:rPr>
            </w:pPr>
          </w:p>
        </w:tc>
        <w:tc>
          <w:tcPr>
            <w:tcW w:w="848" w:type="dxa"/>
            <w:tcBorders>
              <w:top w:val="nil"/>
              <w:left w:val="nil"/>
              <w:bottom w:val="single" w:sz="4" w:space="0" w:color="auto"/>
              <w:right w:val="nil"/>
            </w:tcBorders>
            <w:shd w:val="clear" w:color="auto" w:fill="auto"/>
            <w:noWrap/>
            <w:vAlign w:val="center"/>
          </w:tcPr>
          <w:p w14:paraId="3C572F77" w14:textId="77777777" w:rsidR="00BC53FF" w:rsidRPr="000F7D59" w:rsidRDefault="00BC53FF" w:rsidP="008C71C0">
            <w:pPr>
              <w:spacing w:after="0" w:line="360" w:lineRule="auto"/>
              <w:jc w:val="center"/>
              <w:rPr>
                <w:rFonts w:ascii="Times New Roman" w:hAnsi="Times New Roman" w:cs="Times New Roman"/>
              </w:rPr>
            </w:pPr>
          </w:p>
        </w:tc>
        <w:tc>
          <w:tcPr>
            <w:tcW w:w="1001" w:type="dxa"/>
            <w:tcBorders>
              <w:top w:val="nil"/>
              <w:left w:val="nil"/>
              <w:bottom w:val="single" w:sz="4" w:space="0" w:color="auto"/>
              <w:right w:val="nil"/>
            </w:tcBorders>
            <w:shd w:val="clear" w:color="auto" w:fill="auto"/>
            <w:noWrap/>
            <w:vAlign w:val="center"/>
          </w:tcPr>
          <w:p w14:paraId="77C4AC43" w14:textId="77777777" w:rsidR="00BC53FF" w:rsidRPr="000F7D59" w:rsidRDefault="00BC53FF" w:rsidP="008C71C0">
            <w:pPr>
              <w:spacing w:after="0" w:line="360" w:lineRule="auto"/>
              <w:jc w:val="center"/>
              <w:rPr>
                <w:rFonts w:ascii="Times New Roman" w:hAnsi="Times New Roman" w:cs="Times New Roman"/>
              </w:rPr>
            </w:pPr>
          </w:p>
        </w:tc>
      </w:tr>
    </w:tbl>
    <w:p w14:paraId="6DFBD8E5" w14:textId="77777777" w:rsidR="00BC53FF" w:rsidRPr="000F7D59" w:rsidRDefault="00BC53FF" w:rsidP="00BC53FF">
      <w:pPr>
        <w:spacing w:line="240" w:lineRule="auto"/>
        <w:rPr>
          <w:rFonts w:ascii="Times New Roman" w:hAnsi="Times New Roman" w:cs="Times New Roman"/>
          <w:sz w:val="20"/>
          <w:szCs w:val="20"/>
        </w:rPr>
      </w:pPr>
      <w:r w:rsidRPr="000F7D59">
        <w:rPr>
          <w:rFonts w:ascii="Times New Roman" w:hAnsi="Times New Roman" w:cs="Times New Roman"/>
          <w:sz w:val="20"/>
          <w:szCs w:val="20"/>
        </w:rPr>
        <w:t xml:space="preserve">  </w:t>
      </w:r>
      <w:r w:rsidRPr="000F7D59">
        <w:rPr>
          <w:rFonts w:ascii="Times New Roman" w:eastAsia="Times New Roman" w:hAnsi="Times New Roman" w:cs="Times New Roman"/>
          <w:i/>
          <w:iCs/>
          <w:sz w:val="20"/>
          <w:szCs w:val="20"/>
        </w:rPr>
        <w:t xml:space="preserve">Note: </w:t>
      </w:r>
      <w:r w:rsidRPr="000F7D59">
        <w:rPr>
          <w:rFonts w:ascii="Times New Roman" w:hAnsi="Times New Roman" w:cs="Times New Roman"/>
          <w:i/>
          <w:sz w:val="20"/>
          <w:szCs w:val="20"/>
        </w:rPr>
        <w:t>*p&lt;0.05</w:t>
      </w:r>
    </w:p>
    <w:p w14:paraId="71BCCAD1" w14:textId="77777777" w:rsidR="00BC53FF" w:rsidRPr="000F7D59" w:rsidRDefault="00BC53FF" w:rsidP="00BC53FF">
      <w:pPr>
        <w:rPr>
          <w:rFonts w:ascii="Times New Roman" w:hAnsi="Times New Roman" w:cs="Times New Roman"/>
        </w:rPr>
      </w:pPr>
      <w:r w:rsidRPr="000F7D59">
        <w:rPr>
          <w:rFonts w:ascii="Times New Roman" w:hAnsi="Times New Roman" w:cs="Times New Roman"/>
        </w:rPr>
        <w:t>Table W2.2 Factor loadings of marketing department power’s indicators</w:t>
      </w:r>
    </w:p>
    <w:tbl>
      <w:tblPr>
        <w:tblW w:w="0" w:type="auto"/>
        <w:jc w:val="center"/>
        <w:tblBorders>
          <w:top w:val="single" w:sz="4" w:space="0" w:color="auto"/>
          <w:bottom w:val="single" w:sz="4" w:space="0" w:color="auto"/>
        </w:tblBorders>
        <w:tblLook w:val="04A0" w:firstRow="1" w:lastRow="0" w:firstColumn="1" w:lastColumn="0" w:noHBand="0" w:noVBand="1"/>
      </w:tblPr>
      <w:tblGrid>
        <w:gridCol w:w="3114"/>
        <w:gridCol w:w="1984"/>
        <w:gridCol w:w="1843"/>
      </w:tblGrid>
      <w:tr w:rsidR="00BC53FF" w:rsidRPr="000F7D59" w14:paraId="3A6E4369" w14:textId="77777777" w:rsidTr="00AE0C64">
        <w:trPr>
          <w:jc w:val="center"/>
        </w:trPr>
        <w:tc>
          <w:tcPr>
            <w:tcW w:w="3114" w:type="dxa"/>
            <w:tcBorders>
              <w:top w:val="single" w:sz="4" w:space="0" w:color="auto"/>
              <w:bottom w:val="single" w:sz="4" w:space="0" w:color="auto"/>
            </w:tcBorders>
            <w:vAlign w:val="center"/>
          </w:tcPr>
          <w:p w14:paraId="72BD970E" w14:textId="77777777" w:rsidR="00BC53FF" w:rsidRPr="000F7D59" w:rsidRDefault="00BC53FF" w:rsidP="008C71C0">
            <w:pPr>
              <w:rPr>
                <w:rFonts w:ascii="Times New Roman" w:hAnsi="Times New Roman" w:cs="Times New Roman"/>
              </w:rPr>
            </w:pPr>
          </w:p>
        </w:tc>
        <w:tc>
          <w:tcPr>
            <w:tcW w:w="1984" w:type="dxa"/>
            <w:tcBorders>
              <w:top w:val="single" w:sz="4" w:space="0" w:color="auto"/>
              <w:bottom w:val="single" w:sz="4" w:space="0" w:color="auto"/>
            </w:tcBorders>
            <w:vAlign w:val="center"/>
          </w:tcPr>
          <w:p w14:paraId="6E58D9E9" w14:textId="77777777" w:rsidR="00BC53FF" w:rsidRPr="000F7D59" w:rsidRDefault="00BC53FF" w:rsidP="008C71C0">
            <w:pPr>
              <w:spacing w:line="360" w:lineRule="auto"/>
              <w:jc w:val="center"/>
              <w:rPr>
                <w:rFonts w:ascii="Times New Roman" w:hAnsi="Times New Roman" w:cs="Times New Roman"/>
              </w:rPr>
            </w:pPr>
            <w:r w:rsidRPr="000F7D59">
              <w:rPr>
                <w:rFonts w:ascii="Times New Roman" w:hAnsi="Times New Roman" w:cs="Times New Roman"/>
              </w:rPr>
              <w:t>Factor 1</w:t>
            </w:r>
          </w:p>
        </w:tc>
        <w:tc>
          <w:tcPr>
            <w:tcW w:w="1843" w:type="dxa"/>
            <w:tcBorders>
              <w:top w:val="single" w:sz="4" w:space="0" w:color="auto"/>
              <w:bottom w:val="single" w:sz="4" w:space="0" w:color="auto"/>
            </w:tcBorders>
            <w:vAlign w:val="center"/>
          </w:tcPr>
          <w:p w14:paraId="61ACBA27" w14:textId="77777777" w:rsidR="00BC53FF" w:rsidRPr="000F7D59" w:rsidRDefault="00BC53FF" w:rsidP="008C71C0">
            <w:pPr>
              <w:spacing w:line="360" w:lineRule="auto"/>
              <w:jc w:val="center"/>
              <w:rPr>
                <w:rFonts w:ascii="Times New Roman" w:hAnsi="Times New Roman" w:cs="Times New Roman"/>
              </w:rPr>
            </w:pPr>
            <w:r w:rsidRPr="000F7D59">
              <w:rPr>
                <w:rFonts w:ascii="Times New Roman" w:hAnsi="Times New Roman" w:cs="Times New Roman"/>
              </w:rPr>
              <w:t>Uniqueness</w:t>
            </w:r>
          </w:p>
        </w:tc>
      </w:tr>
      <w:tr w:rsidR="00BC53FF" w:rsidRPr="000F7D59" w14:paraId="2DEFE761" w14:textId="77777777" w:rsidTr="00AE0C64">
        <w:trPr>
          <w:jc w:val="center"/>
        </w:trPr>
        <w:tc>
          <w:tcPr>
            <w:tcW w:w="3114" w:type="dxa"/>
            <w:tcBorders>
              <w:top w:val="single" w:sz="4" w:space="0" w:color="auto"/>
            </w:tcBorders>
            <w:vAlign w:val="center"/>
          </w:tcPr>
          <w:p w14:paraId="331CD36F" w14:textId="77777777" w:rsidR="00BC53FF" w:rsidRPr="000F7D59" w:rsidRDefault="00BC53FF" w:rsidP="008C71C0">
            <w:pPr>
              <w:rPr>
                <w:rFonts w:ascii="Times New Roman" w:hAnsi="Times New Roman" w:cs="Times New Roman"/>
              </w:rPr>
            </w:pPr>
            <w:r w:rsidRPr="000F7D59">
              <w:rPr>
                <w:rFonts w:ascii="Times New Roman" w:hAnsi="Times New Roman" w:cs="Times New Roman"/>
              </w:rPr>
              <w:t>1. Proportion of marketing executives</w:t>
            </w:r>
          </w:p>
        </w:tc>
        <w:tc>
          <w:tcPr>
            <w:tcW w:w="1984" w:type="dxa"/>
            <w:tcBorders>
              <w:top w:val="single" w:sz="4" w:space="0" w:color="auto"/>
            </w:tcBorders>
          </w:tcPr>
          <w:p w14:paraId="73E81D51" w14:textId="77777777" w:rsidR="00BC53FF" w:rsidRPr="000F7D59" w:rsidRDefault="00BC53FF" w:rsidP="008C71C0">
            <w:pPr>
              <w:spacing w:line="360" w:lineRule="auto"/>
              <w:jc w:val="center"/>
              <w:rPr>
                <w:rFonts w:ascii="Times New Roman" w:hAnsi="Times New Roman" w:cs="Times New Roman"/>
              </w:rPr>
            </w:pPr>
            <w:r w:rsidRPr="000F7D59">
              <w:rPr>
                <w:rFonts w:ascii="Times New Roman" w:hAnsi="Times New Roman" w:cs="Times New Roman"/>
              </w:rPr>
              <w:t>.95</w:t>
            </w:r>
          </w:p>
        </w:tc>
        <w:tc>
          <w:tcPr>
            <w:tcW w:w="1843" w:type="dxa"/>
            <w:tcBorders>
              <w:top w:val="single" w:sz="4" w:space="0" w:color="auto"/>
            </w:tcBorders>
          </w:tcPr>
          <w:p w14:paraId="2AB99E05" w14:textId="77777777" w:rsidR="00BC53FF" w:rsidRPr="000F7D59" w:rsidRDefault="00BC53FF" w:rsidP="008C71C0">
            <w:pPr>
              <w:spacing w:line="360" w:lineRule="auto"/>
              <w:jc w:val="center"/>
              <w:rPr>
                <w:rFonts w:ascii="Times New Roman" w:hAnsi="Times New Roman" w:cs="Times New Roman"/>
              </w:rPr>
            </w:pPr>
            <w:r w:rsidRPr="000F7D59">
              <w:rPr>
                <w:rFonts w:ascii="Times New Roman" w:hAnsi="Times New Roman" w:cs="Times New Roman"/>
              </w:rPr>
              <w:t>.09</w:t>
            </w:r>
          </w:p>
        </w:tc>
      </w:tr>
      <w:tr w:rsidR="00BC53FF" w:rsidRPr="000F7D59" w14:paraId="56900B4C" w14:textId="77777777" w:rsidTr="00AE0C64">
        <w:trPr>
          <w:jc w:val="center"/>
        </w:trPr>
        <w:tc>
          <w:tcPr>
            <w:tcW w:w="3114" w:type="dxa"/>
            <w:vAlign w:val="center"/>
          </w:tcPr>
          <w:p w14:paraId="678C4B9A" w14:textId="77777777" w:rsidR="00BC53FF" w:rsidRPr="000F7D59" w:rsidRDefault="00BC53FF" w:rsidP="008C71C0">
            <w:pPr>
              <w:rPr>
                <w:rFonts w:ascii="Times New Roman" w:hAnsi="Times New Roman" w:cs="Times New Roman"/>
              </w:rPr>
            </w:pPr>
            <w:r w:rsidRPr="000F7D59">
              <w:rPr>
                <w:rFonts w:ascii="Times New Roman" w:hAnsi="Times New Roman" w:cs="Times New Roman"/>
              </w:rPr>
              <w:t>2. Proportion of marketing executives’ pay</w:t>
            </w:r>
          </w:p>
        </w:tc>
        <w:tc>
          <w:tcPr>
            <w:tcW w:w="1984" w:type="dxa"/>
          </w:tcPr>
          <w:p w14:paraId="0C3D4B35" w14:textId="77777777" w:rsidR="00BC53FF" w:rsidRPr="000F7D59" w:rsidRDefault="00BC53FF" w:rsidP="008C71C0">
            <w:pPr>
              <w:spacing w:line="360" w:lineRule="auto"/>
              <w:jc w:val="center"/>
              <w:rPr>
                <w:rFonts w:ascii="Times New Roman" w:hAnsi="Times New Roman" w:cs="Times New Roman"/>
              </w:rPr>
            </w:pPr>
            <w:r w:rsidRPr="000F7D59">
              <w:rPr>
                <w:rFonts w:ascii="Times New Roman" w:hAnsi="Times New Roman" w:cs="Times New Roman"/>
              </w:rPr>
              <w:t>.90</w:t>
            </w:r>
          </w:p>
        </w:tc>
        <w:tc>
          <w:tcPr>
            <w:tcW w:w="1843" w:type="dxa"/>
          </w:tcPr>
          <w:p w14:paraId="267AF830" w14:textId="77777777" w:rsidR="00BC53FF" w:rsidRPr="000F7D59" w:rsidRDefault="00BC53FF" w:rsidP="008C71C0">
            <w:pPr>
              <w:spacing w:line="360" w:lineRule="auto"/>
              <w:jc w:val="center"/>
              <w:rPr>
                <w:rFonts w:ascii="Times New Roman" w:hAnsi="Times New Roman" w:cs="Times New Roman"/>
              </w:rPr>
            </w:pPr>
            <w:r w:rsidRPr="000F7D59">
              <w:rPr>
                <w:rFonts w:ascii="Times New Roman" w:hAnsi="Times New Roman" w:cs="Times New Roman"/>
              </w:rPr>
              <w:t>.19</w:t>
            </w:r>
          </w:p>
        </w:tc>
      </w:tr>
      <w:tr w:rsidR="00BC53FF" w:rsidRPr="000F7D59" w14:paraId="35885675" w14:textId="77777777" w:rsidTr="00AE0C64">
        <w:trPr>
          <w:jc w:val="center"/>
        </w:trPr>
        <w:tc>
          <w:tcPr>
            <w:tcW w:w="3114" w:type="dxa"/>
            <w:vAlign w:val="center"/>
          </w:tcPr>
          <w:p w14:paraId="6F0E55D9" w14:textId="77777777" w:rsidR="00BC53FF" w:rsidRPr="000F7D59" w:rsidRDefault="00BC53FF" w:rsidP="008C71C0">
            <w:pPr>
              <w:rPr>
                <w:rFonts w:ascii="Times New Roman" w:hAnsi="Times New Roman" w:cs="Times New Roman"/>
              </w:rPr>
            </w:pPr>
            <w:r w:rsidRPr="000F7D59">
              <w:rPr>
                <w:rFonts w:ascii="Times New Roman" w:hAnsi="Times New Roman" w:cs="Times New Roman"/>
              </w:rPr>
              <w:t>3. Highest ranking of marketing executives</w:t>
            </w:r>
          </w:p>
        </w:tc>
        <w:tc>
          <w:tcPr>
            <w:tcW w:w="1984" w:type="dxa"/>
          </w:tcPr>
          <w:p w14:paraId="14004D9C" w14:textId="77777777" w:rsidR="00BC53FF" w:rsidRPr="000F7D59" w:rsidRDefault="00BC53FF" w:rsidP="008C71C0">
            <w:pPr>
              <w:spacing w:line="360" w:lineRule="auto"/>
              <w:jc w:val="center"/>
              <w:rPr>
                <w:rFonts w:ascii="Times New Roman" w:hAnsi="Times New Roman" w:cs="Times New Roman"/>
              </w:rPr>
            </w:pPr>
            <w:r w:rsidRPr="000F7D59">
              <w:rPr>
                <w:rFonts w:ascii="Times New Roman" w:hAnsi="Times New Roman" w:cs="Times New Roman"/>
              </w:rPr>
              <w:t>.92</w:t>
            </w:r>
          </w:p>
        </w:tc>
        <w:tc>
          <w:tcPr>
            <w:tcW w:w="1843" w:type="dxa"/>
          </w:tcPr>
          <w:p w14:paraId="6AAE232D" w14:textId="77777777" w:rsidR="00BC53FF" w:rsidRPr="000F7D59" w:rsidRDefault="00BC53FF" w:rsidP="008C71C0">
            <w:pPr>
              <w:spacing w:line="360" w:lineRule="auto"/>
              <w:jc w:val="center"/>
              <w:rPr>
                <w:rFonts w:ascii="Times New Roman" w:hAnsi="Times New Roman" w:cs="Times New Roman"/>
              </w:rPr>
            </w:pPr>
            <w:r w:rsidRPr="000F7D59">
              <w:rPr>
                <w:rFonts w:ascii="Times New Roman" w:hAnsi="Times New Roman" w:cs="Times New Roman"/>
              </w:rPr>
              <w:t>.15</w:t>
            </w:r>
          </w:p>
        </w:tc>
      </w:tr>
      <w:tr w:rsidR="00BC53FF" w:rsidRPr="000F7D59" w14:paraId="2D6ADFAE" w14:textId="77777777" w:rsidTr="00AE0C64">
        <w:trPr>
          <w:jc w:val="center"/>
        </w:trPr>
        <w:tc>
          <w:tcPr>
            <w:tcW w:w="3114" w:type="dxa"/>
            <w:vAlign w:val="center"/>
          </w:tcPr>
          <w:p w14:paraId="4A698990" w14:textId="77777777" w:rsidR="00BC53FF" w:rsidRPr="000F7D59" w:rsidRDefault="00BC53FF" w:rsidP="008C71C0">
            <w:pPr>
              <w:rPr>
                <w:rFonts w:ascii="Times New Roman" w:hAnsi="Times New Roman" w:cs="Times New Roman"/>
              </w:rPr>
            </w:pPr>
            <w:r w:rsidRPr="000F7D59">
              <w:rPr>
                <w:rFonts w:ascii="Times New Roman" w:hAnsi="Times New Roman" w:cs="Times New Roman"/>
              </w:rPr>
              <w:t>4. Cumulative ranking of marketing executives</w:t>
            </w:r>
          </w:p>
        </w:tc>
        <w:tc>
          <w:tcPr>
            <w:tcW w:w="1984" w:type="dxa"/>
          </w:tcPr>
          <w:p w14:paraId="4DCF48F5" w14:textId="77777777" w:rsidR="00BC53FF" w:rsidRPr="000F7D59" w:rsidRDefault="00BC53FF" w:rsidP="008C71C0">
            <w:pPr>
              <w:spacing w:line="360" w:lineRule="auto"/>
              <w:jc w:val="center"/>
              <w:rPr>
                <w:rFonts w:ascii="Times New Roman" w:hAnsi="Times New Roman" w:cs="Times New Roman"/>
              </w:rPr>
            </w:pPr>
            <w:r w:rsidRPr="000F7D59">
              <w:rPr>
                <w:rFonts w:ascii="Times New Roman" w:hAnsi="Times New Roman" w:cs="Times New Roman"/>
              </w:rPr>
              <w:t>.96</w:t>
            </w:r>
          </w:p>
        </w:tc>
        <w:tc>
          <w:tcPr>
            <w:tcW w:w="1843" w:type="dxa"/>
          </w:tcPr>
          <w:p w14:paraId="242EAB35" w14:textId="77777777" w:rsidR="00BC53FF" w:rsidRPr="000F7D59" w:rsidRDefault="00BC53FF" w:rsidP="008C71C0">
            <w:pPr>
              <w:spacing w:line="360" w:lineRule="auto"/>
              <w:jc w:val="center"/>
              <w:rPr>
                <w:rFonts w:ascii="Times New Roman" w:hAnsi="Times New Roman" w:cs="Times New Roman"/>
              </w:rPr>
            </w:pPr>
            <w:r w:rsidRPr="000F7D59">
              <w:rPr>
                <w:rFonts w:ascii="Times New Roman" w:hAnsi="Times New Roman" w:cs="Times New Roman"/>
              </w:rPr>
              <w:t>.08</w:t>
            </w:r>
          </w:p>
        </w:tc>
      </w:tr>
      <w:tr w:rsidR="00BC53FF" w:rsidRPr="000F7D59" w14:paraId="2E96CD03" w14:textId="77777777" w:rsidTr="00AE0C64">
        <w:trPr>
          <w:jc w:val="center"/>
        </w:trPr>
        <w:tc>
          <w:tcPr>
            <w:tcW w:w="3114" w:type="dxa"/>
            <w:vAlign w:val="center"/>
          </w:tcPr>
          <w:p w14:paraId="7813DE5D" w14:textId="77777777" w:rsidR="00BC53FF" w:rsidRPr="000F7D59" w:rsidRDefault="00BC53FF" w:rsidP="008C71C0">
            <w:pPr>
              <w:rPr>
                <w:rFonts w:ascii="Times New Roman" w:hAnsi="Times New Roman" w:cs="Times New Roman"/>
              </w:rPr>
            </w:pPr>
            <w:r w:rsidRPr="000F7D59">
              <w:rPr>
                <w:rFonts w:ascii="Times New Roman" w:hAnsi="Times New Roman" w:cs="Times New Roman"/>
              </w:rPr>
              <w:t>5. Cumulative responsibilities of marketing executives</w:t>
            </w:r>
          </w:p>
        </w:tc>
        <w:tc>
          <w:tcPr>
            <w:tcW w:w="1984" w:type="dxa"/>
          </w:tcPr>
          <w:p w14:paraId="2D4692EB" w14:textId="77777777" w:rsidR="00BC53FF" w:rsidRPr="000F7D59" w:rsidRDefault="00BC53FF" w:rsidP="008C71C0">
            <w:pPr>
              <w:spacing w:line="360" w:lineRule="auto"/>
              <w:jc w:val="center"/>
              <w:rPr>
                <w:rFonts w:ascii="Times New Roman" w:hAnsi="Times New Roman" w:cs="Times New Roman"/>
              </w:rPr>
            </w:pPr>
            <w:r w:rsidRPr="000F7D59">
              <w:rPr>
                <w:rFonts w:ascii="Times New Roman" w:hAnsi="Times New Roman" w:cs="Times New Roman"/>
              </w:rPr>
              <w:t>.91</w:t>
            </w:r>
          </w:p>
        </w:tc>
        <w:tc>
          <w:tcPr>
            <w:tcW w:w="1843" w:type="dxa"/>
          </w:tcPr>
          <w:p w14:paraId="077F020A" w14:textId="77777777" w:rsidR="00BC53FF" w:rsidRPr="000F7D59" w:rsidRDefault="00BC53FF" w:rsidP="008C71C0">
            <w:pPr>
              <w:spacing w:line="360" w:lineRule="auto"/>
              <w:jc w:val="center"/>
              <w:rPr>
                <w:rFonts w:ascii="Times New Roman" w:hAnsi="Times New Roman" w:cs="Times New Roman"/>
              </w:rPr>
            </w:pPr>
            <w:r w:rsidRPr="000F7D59">
              <w:rPr>
                <w:rFonts w:ascii="Times New Roman" w:hAnsi="Times New Roman" w:cs="Times New Roman"/>
              </w:rPr>
              <w:t>.17</w:t>
            </w:r>
          </w:p>
          <w:p w14:paraId="2E7DE3BE" w14:textId="77777777" w:rsidR="00BC53FF" w:rsidRPr="000F7D59" w:rsidRDefault="00BC53FF" w:rsidP="008C71C0">
            <w:pPr>
              <w:spacing w:line="360" w:lineRule="auto"/>
              <w:jc w:val="center"/>
              <w:rPr>
                <w:rFonts w:ascii="Times New Roman" w:hAnsi="Times New Roman" w:cs="Times New Roman"/>
              </w:rPr>
            </w:pPr>
          </w:p>
        </w:tc>
      </w:tr>
    </w:tbl>
    <w:p w14:paraId="6A43AF86" w14:textId="77777777" w:rsidR="00BC53FF" w:rsidRPr="000F7D59" w:rsidRDefault="00BC53FF" w:rsidP="00BC53FF">
      <w:pPr>
        <w:spacing w:after="0" w:line="240" w:lineRule="auto"/>
        <w:rPr>
          <w:rFonts w:ascii="Times New Roman" w:eastAsia="Times New Roman" w:hAnsi="Times New Roman" w:cs="Times New Roman"/>
        </w:rPr>
      </w:pPr>
      <w:r w:rsidRPr="000F7D59">
        <w:rPr>
          <w:rFonts w:ascii="Times New Roman" w:eastAsia="Times New Roman" w:hAnsi="Times New Roman" w:cs="Times New Roman"/>
        </w:rPr>
        <w:tab/>
      </w:r>
      <w:r w:rsidRPr="000F7D59">
        <w:rPr>
          <w:rFonts w:ascii="Times New Roman" w:eastAsia="Times New Roman" w:hAnsi="Times New Roman" w:cs="Times New Roman"/>
        </w:rPr>
        <w:tab/>
      </w:r>
      <w:r w:rsidRPr="000F7D59">
        <w:rPr>
          <w:rFonts w:ascii="Times New Roman" w:eastAsia="Times New Roman" w:hAnsi="Times New Roman" w:cs="Times New Roman"/>
        </w:rPr>
        <w:tab/>
      </w:r>
      <w:r w:rsidRPr="000F7D59">
        <w:rPr>
          <w:rFonts w:ascii="Times New Roman" w:eastAsia="Times New Roman" w:hAnsi="Times New Roman" w:cs="Times New Roman"/>
        </w:rPr>
        <w:tab/>
      </w:r>
    </w:p>
    <w:p w14:paraId="41B193CD" w14:textId="77777777" w:rsidR="00BC53FF" w:rsidRPr="000F7D59" w:rsidRDefault="00BC53FF" w:rsidP="00BC53FF">
      <w:pPr>
        <w:spacing w:after="0" w:line="240" w:lineRule="auto"/>
        <w:rPr>
          <w:rFonts w:ascii="Times New Roman" w:eastAsia="Times New Roman" w:hAnsi="Times New Roman" w:cs="Times New Roman"/>
        </w:rPr>
      </w:pPr>
    </w:p>
    <w:p w14:paraId="547FFD6F" w14:textId="77777777" w:rsidR="00BC53FF" w:rsidRPr="000F7D59" w:rsidRDefault="00BC53FF" w:rsidP="00BC53FF">
      <w:pPr>
        <w:spacing w:after="0" w:line="240" w:lineRule="auto"/>
        <w:rPr>
          <w:rFonts w:ascii="Times New Roman" w:eastAsia="Times New Roman" w:hAnsi="Times New Roman" w:cs="Times New Roman"/>
        </w:rPr>
      </w:pPr>
    </w:p>
    <w:p w14:paraId="4D2A5C9F" w14:textId="77777777" w:rsidR="00BC53FF" w:rsidRPr="000F7D59" w:rsidRDefault="00BC53FF" w:rsidP="00BC53FF">
      <w:pPr>
        <w:spacing w:after="0" w:line="240" w:lineRule="auto"/>
        <w:rPr>
          <w:rFonts w:ascii="Times New Roman" w:eastAsia="Times New Roman" w:hAnsi="Times New Roman" w:cs="Times New Roman"/>
        </w:rPr>
      </w:pPr>
    </w:p>
    <w:p w14:paraId="6D301CAC" w14:textId="77777777" w:rsidR="00BC53FF" w:rsidRPr="000F7D59" w:rsidRDefault="00BC53FF" w:rsidP="00BC53FF">
      <w:pPr>
        <w:spacing w:after="0" w:line="240" w:lineRule="auto"/>
        <w:rPr>
          <w:rFonts w:ascii="Times New Roman" w:eastAsia="Times New Roman" w:hAnsi="Times New Roman" w:cs="Times New Roman"/>
        </w:rPr>
      </w:pPr>
    </w:p>
    <w:p w14:paraId="69C8D550" w14:textId="77777777" w:rsidR="00BC53FF" w:rsidRPr="000F7D59" w:rsidRDefault="00BC53FF" w:rsidP="00BC53FF">
      <w:pPr>
        <w:spacing w:after="0" w:line="240" w:lineRule="auto"/>
        <w:rPr>
          <w:rFonts w:ascii="Times New Roman" w:eastAsia="Times New Roman" w:hAnsi="Times New Roman" w:cs="Times New Roman"/>
        </w:rPr>
      </w:pPr>
    </w:p>
    <w:p w14:paraId="58AC4E61" w14:textId="77777777" w:rsidR="00BC53FF" w:rsidRDefault="00BC53FF" w:rsidP="00BC53FF">
      <w:pPr>
        <w:spacing w:after="0" w:line="240" w:lineRule="auto"/>
        <w:rPr>
          <w:rFonts w:ascii="Times New Roman" w:eastAsia="Times New Roman" w:hAnsi="Times New Roman" w:cs="Times New Roman"/>
        </w:rPr>
      </w:pPr>
    </w:p>
    <w:p w14:paraId="6547C3CA" w14:textId="77777777" w:rsidR="00BC53FF" w:rsidRDefault="00BC53FF" w:rsidP="00BC53FF">
      <w:pPr>
        <w:spacing w:after="0" w:line="240" w:lineRule="auto"/>
        <w:rPr>
          <w:rFonts w:ascii="Times New Roman" w:eastAsia="Times New Roman" w:hAnsi="Times New Roman" w:cs="Times New Roman"/>
        </w:rPr>
      </w:pPr>
    </w:p>
    <w:p w14:paraId="0D2F1373" w14:textId="77777777" w:rsidR="00BC53FF" w:rsidRPr="000F7D59" w:rsidRDefault="00BC53FF" w:rsidP="00BC53FF">
      <w:pPr>
        <w:spacing w:after="0" w:line="240" w:lineRule="auto"/>
        <w:rPr>
          <w:rFonts w:ascii="Times New Roman" w:eastAsia="Times New Roman" w:hAnsi="Times New Roman" w:cs="Times New Roman"/>
        </w:rPr>
      </w:pPr>
    </w:p>
    <w:p w14:paraId="6209C7F1" w14:textId="77777777" w:rsidR="00BC53FF" w:rsidRPr="000F7D59" w:rsidRDefault="00BC53FF" w:rsidP="00BC53FF">
      <w:pPr>
        <w:autoSpaceDE w:val="0"/>
        <w:autoSpaceDN w:val="0"/>
        <w:adjustRightInd w:val="0"/>
        <w:spacing w:after="0" w:line="240" w:lineRule="auto"/>
        <w:ind w:right="-613"/>
        <w:rPr>
          <w:rFonts w:ascii="Times New Roman" w:eastAsiaTheme="minorEastAsia" w:hAnsi="Times New Roman" w:cs="Times New Roman"/>
          <w:sz w:val="24"/>
          <w:szCs w:val="24"/>
          <w:lang w:val="en-GB" w:eastAsia="zh-CN"/>
        </w:rPr>
      </w:pPr>
      <w:r w:rsidRPr="000F7D59">
        <w:rPr>
          <w:rFonts w:ascii="Times New Roman" w:eastAsiaTheme="minorEastAsia" w:hAnsi="Times New Roman" w:cs="Times New Roman"/>
          <w:sz w:val="24"/>
          <w:szCs w:val="24"/>
          <w:lang w:val="en-GB" w:eastAsia="zh-CN"/>
        </w:rPr>
        <w:t xml:space="preserve">Table W2.3 </w:t>
      </w:r>
      <w:proofErr w:type="spellStart"/>
      <w:r w:rsidRPr="000F7D59">
        <w:rPr>
          <w:rFonts w:ascii="Times New Roman" w:eastAsiaTheme="minorEastAsia" w:hAnsi="Times New Roman" w:cs="Times New Roman"/>
          <w:sz w:val="24"/>
          <w:szCs w:val="24"/>
          <w:lang w:val="en-GB" w:eastAsia="zh-CN"/>
        </w:rPr>
        <w:t>Descriptives</w:t>
      </w:r>
      <w:proofErr w:type="spellEnd"/>
      <w:r w:rsidRPr="000F7D59">
        <w:rPr>
          <w:rFonts w:ascii="Times New Roman" w:eastAsiaTheme="minorEastAsia" w:hAnsi="Times New Roman" w:cs="Times New Roman"/>
          <w:sz w:val="24"/>
          <w:szCs w:val="24"/>
          <w:lang w:val="en-GB" w:eastAsia="zh-CN"/>
        </w:rPr>
        <w:t xml:space="preserve"> and correlation matrix of R&amp;D department power’s indicators</w:t>
      </w:r>
    </w:p>
    <w:tbl>
      <w:tblPr>
        <w:tblW w:w="8854" w:type="dxa"/>
        <w:jc w:val="center"/>
        <w:tblLayout w:type="fixed"/>
        <w:tblLook w:val="04A0" w:firstRow="1" w:lastRow="0" w:firstColumn="1" w:lastColumn="0" w:noHBand="0" w:noVBand="1"/>
      </w:tblPr>
      <w:tblGrid>
        <w:gridCol w:w="2790"/>
        <w:gridCol w:w="850"/>
        <w:gridCol w:w="1073"/>
        <w:gridCol w:w="708"/>
        <w:gridCol w:w="709"/>
        <w:gridCol w:w="875"/>
        <w:gridCol w:w="848"/>
        <w:gridCol w:w="1001"/>
      </w:tblGrid>
      <w:tr w:rsidR="00BC53FF" w:rsidRPr="000F7D59" w14:paraId="385F885B" w14:textId="77777777" w:rsidTr="008C71C0">
        <w:trPr>
          <w:trHeight w:val="288"/>
          <w:jc w:val="center"/>
        </w:trPr>
        <w:tc>
          <w:tcPr>
            <w:tcW w:w="2790" w:type="dxa"/>
            <w:tcBorders>
              <w:top w:val="single" w:sz="4" w:space="0" w:color="auto"/>
              <w:left w:val="nil"/>
              <w:bottom w:val="single" w:sz="4" w:space="0" w:color="auto"/>
              <w:right w:val="nil"/>
            </w:tcBorders>
            <w:shd w:val="clear" w:color="auto" w:fill="auto"/>
            <w:noWrap/>
            <w:vAlign w:val="center"/>
            <w:hideMark/>
          </w:tcPr>
          <w:p w14:paraId="2C4845FD" w14:textId="77777777" w:rsidR="00BC53FF" w:rsidRPr="000F7D59" w:rsidRDefault="00BC53FF" w:rsidP="008C71C0">
            <w:pPr>
              <w:spacing w:after="0" w:line="360" w:lineRule="auto"/>
              <w:jc w:val="center"/>
              <w:rPr>
                <w:rFonts w:ascii="Times New Roman" w:hAnsi="Times New Roman" w:cs="Times New Roman"/>
              </w:rPr>
            </w:pPr>
          </w:p>
        </w:tc>
        <w:tc>
          <w:tcPr>
            <w:tcW w:w="850" w:type="dxa"/>
            <w:tcBorders>
              <w:top w:val="single" w:sz="4" w:space="0" w:color="auto"/>
              <w:left w:val="nil"/>
              <w:bottom w:val="single" w:sz="4" w:space="0" w:color="auto"/>
              <w:right w:val="nil"/>
            </w:tcBorders>
            <w:vAlign w:val="center"/>
          </w:tcPr>
          <w:p w14:paraId="6BB1C1CA"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Mean</w:t>
            </w:r>
          </w:p>
        </w:tc>
        <w:tc>
          <w:tcPr>
            <w:tcW w:w="1073" w:type="dxa"/>
            <w:tcBorders>
              <w:top w:val="single" w:sz="4" w:space="0" w:color="auto"/>
              <w:left w:val="nil"/>
              <w:bottom w:val="single" w:sz="4" w:space="0" w:color="auto"/>
              <w:right w:val="nil"/>
            </w:tcBorders>
            <w:vAlign w:val="center"/>
          </w:tcPr>
          <w:p w14:paraId="1D645C25" w14:textId="77777777" w:rsidR="00BC53FF" w:rsidRPr="000F7D59" w:rsidRDefault="00BC53FF" w:rsidP="008C71C0">
            <w:pPr>
              <w:spacing w:after="0" w:line="360" w:lineRule="auto"/>
              <w:rPr>
                <w:rFonts w:ascii="Times New Roman" w:hAnsi="Times New Roman" w:cs="Times New Roman"/>
              </w:rPr>
            </w:pPr>
            <w:r w:rsidRPr="000F7D59">
              <w:rPr>
                <w:rFonts w:ascii="Times New Roman" w:hAnsi="Times New Roman" w:cs="Times New Roman"/>
              </w:rPr>
              <w:t>Std. Dev</w:t>
            </w:r>
          </w:p>
        </w:tc>
        <w:tc>
          <w:tcPr>
            <w:tcW w:w="708" w:type="dxa"/>
            <w:tcBorders>
              <w:top w:val="single" w:sz="4" w:space="0" w:color="auto"/>
              <w:left w:val="nil"/>
              <w:bottom w:val="single" w:sz="4" w:space="0" w:color="auto"/>
              <w:right w:val="nil"/>
            </w:tcBorders>
            <w:shd w:val="clear" w:color="auto" w:fill="auto"/>
            <w:noWrap/>
            <w:vAlign w:val="center"/>
            <w:hideMark/>
          </w:tcPr>
          <w:p w14:paraId="2E2FB15D"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1.</w:t>
            </w:r>
          </w:p>
        </w:tc>
        <w:tc>
          <w:tcPr>
            <w:tcW w:w="709" w:type="dxa"/>
            <w:tcBorders>
              <w:top w:val="single" w:sz="4" w:space="0" w:color="auto"/>
              <w:left w:val="nil"/>
              <w:bottom w:val="single" w:sz="4" w:space="0" w:color="auto"/>
              <w:right w:val="nil"/>
            </w:tcBorders>
            <w:shd w:val="clear" w:color="auto" w:fill="auto"/>
            <w:noWrap/>
            <w:vAlign w:val="center"/>
            <w:hideMark/>
          </w:tcPr>
          <w:p w14:paraId="76B3FFEB"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2.</w:t>
            </w:r>
          </w:p>
        </w:tc>
        <w:tc>
          <w:tcPr>
            <w:tcW w:w="875" w:type="dxa"/>
            <w:tcBorders>
              <w:top w:val="single" w:sz="4" w:space="0" w:color="auto"/>
              <w:left w:val="nil"/>
              <w:bottom w:val="single" w:sz="4" w:space="0" w:color="auto"/>
              <w:right w:val="nil"/>
            </w:tcBorders>
            <w:shd w:val="clear" w:color="auto" w:fill="auto"/>
            <w:noWrap/>
            <w:vAlign w:val="center"/>
            <w:hideMark/>
          </w:tcPr>
          <w:p w14:paraId="726DD0FB"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3.</w:t>
            </w:r>
          </w:p>
        </w:tc>
        <w:tc>
          <w:tcPr>
            <w:tcW w:w="848" w:type="dxa"/>
            <w:tcBorders>
              <w:top w:val="single" w:sz="4" w:space="0" w:color="auto"/>
              <w:left w:val="nil"/>
              <w:bottom w:val="single" w:sz="4" w:space="0" w:color="auto"/>
              <w:right w:val="nil"/>
            </w:tcBorders>
            <w:shd w:val="clear" w:color="auto" w:fill="auto"/>
            <w:noWrap/>
            <w:vAlign w:val="center"/>
            <w:hideMark/>
          </w:tcPr>
          <w:p w14:paraId="79F71BB3"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4.</w:t>
            </w:r>
          </w:p>
        </w:tc>
        <w:tc>
          <w:tcPr>
            <w:tcW w:w="1001" w:type="dxa"/>
            <w:tcBorders>
              <w:top w:val="single" w:sz="4" w:space="0" w:color="auto"/>
              <w:left w:val="nil"/>
              <w:bottom w:val="single" w:sz="4" w:space="0" w:color="auto"/>
              <w:right w:val="nil"/>
            </w:tcBorders>
            <w:shd w:val="clear" w:color="auto" w:fill="auto"/>
            <w:noWrap/>
            <w:vAlign w:val="center"/>
            <w:hideMark/>
          </w:tcPr>
          <w:p w14:paraId="17EE9F3C"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5.</w:t>
            </w:r>
          </w:p>
        </w:tc>
      </w:tr>
      <w:tr w:rsidR="00BC53FF" w:rsidRPr="000F7D59" w14:paraId="355FBA44" w14:textId="77777777" w:rsidTr="008C71C0">
        <w:trPr>
          <w:trHeight w:val="255"/>
          <w:jc w:val="center"/>
        </w:trPr>
        <w:tc>
          <w:tcPr>
            <w:tcW w:w="2790" w:type="dxa"/>
            <w:tcBorders>
              <w:top w:val="single" w:sz="4" w:space="0" w:color="auto"/>
              <w:left w:val="nil"/>
              <w:bottom w:val="nil"/>
              <w:right w:val="nil"/>
            </w:tcBorders>
            <w:shd w:val="clear" w:color="auto" w:fill="auto"/>
            <w:noWrap/>
            <w:vAlign w:val="center"/>
            <w:hideMark/>
          </w:tcPr>
          <w:p w14:paraId="43FED071" w14:textId="77777777" w:rsidR="00BC53FF" w:rsidRPr="000F7D59" w:rsidRDefault="00BC53FF" w:rsidP="008C71C0">
            <w:pPr>
              <w:spacing w:after="0" w:line="360" w:lineRule="auto"/>
              <w:rPr>
                <w:rFonts w:ascii="Times New Roman" w:hAnsi="Times New Roman" w:cs="Times New Roman"/>
              </w:rPr>
            </w:pPr>
          </w:p>
        </w:tc>
        <w:tc>
          <w:tcPr>
            <w:tcW w:w="850" w:type="dxa"/>
            <w:tcBorders>
              <w:top w:val="single" w:sz="4" w:space="0" w:color="auto"/>
              <w:left w:val="nil"/>
              <w:bottom w:val="nil"/>
              <w:right w:val="nil"/>
            </w:tcBorders>
            <w:vAlign w:val="center"/>
          </w:tcPr>
          <w:p w14:paraId="218F6089" w14:textId="77777777" w:rsidR="00BC53FF" w:rsidRPr="000F7D59" w:rsidRDefault="00BC53FF" w:rsidP="008C71C0">
            <w:pPr>
              <w:spacing w:after="0" w:line="360" w:lineRule="auto"/>
              <w:jc w:val="center"/>
              <w:rPr>
                <w:rFonts w:ascii="Times New Roman" w:hAnsi="Times New Roman" w:cs="Times New Roman"/>
              </w:rPr>
            </w:pPr>
          </w:p>
        </w:tc>
        <w:tc>
          <w:tcPr>
            <w:tcW w:w="1073" w:type="dxa"/>
            <w:tcBorders>
              <w:top w:val="single" w:sz="4" w:space="0" w:color="auto"/>
              <w:left w:val="nil"/>
              <w:bottom w:val="nil"/>
              <w:right w:val="nil"/>
            </w:tcBorders>
            <w:vAlign w:val="center"/>
          </w:tcPr>
          <w:p w14:paraId="14772750" w14:textId="77777777" w:rsidR="00BC53FF" w:rsidRPr="000F7D59" w:rsidRDefault="00BC53FF" w:rsidP="008C71C0">
            <w:pPr>
              <w:spacing w:after="0" w:line="360" w:lineRule="auto"/>
              <w:jc w:val="center"/>
              <w:rPr>
                <w:rFonts w:ascii="Times New Roman" w:hAnsi="Times New Roman" w:cs="Times New Roman"/>
              </w:rPr>
            </w:pPr>
          </w:p>
        </w:tc>
        <w:tc>
          <w:tcPr>
            <w:tcW w:w="708" w:type="dxa"/>
            <w:tcBorders>
              <w:top w:val="single" w:sz="4" w:space="0" w:color="auto"/>
              <w:left w:val="nil"/>
              <w:bottom w:val="nil"/>
              <w:right w:val="nil"/>
            </w:tcBorders>
            <w:shd w:val="clear" w:color="auto" w:fill="auto"/>
            <w:noWrap/>
            <w:vAlign w:val="center"/>
            <w:hideMark/>
          </w:tcPr>
          <w:p w14:paraId="3A2BDCBD" w14:textId="77777777" w:rsidR="00BC53FF" w:rsidRPr="000F7D59" w:rsidRDefault="00BC53FF" w:rsidP="008C71C0">
            <w:pPr>
              <w:spacing w:after="0" w:line="360" w:lineRule="auto"/>
              <w:jc w:val="center"/>
              <w:rPr>
                <w:rFonts w:ascii="Times New Roman" w:hAnsi="Times New Roman" w:cs="Times New Roman"/>
              </w:rPr>
            </w:pPr>
          </w:p>
        </w:tc>
        <w:tc>
          <w:tcPr>
            <w:tcW w:w="709" w:type="dxa"/>
            <w:tcBorders>
              <w:top w:val="single" w:sz="4" w:space="0" w:color="auto"/>
              <w:left w:val="nil"/>
              <w:bottom w:val="nil"/>
              <w:right w:val="nil"/>
            </w:tcBorders>
            <w:shd w:val="clear" w:color="auto" w:fill="auto"/>
            <w:noWrap/>
            <w:vAlign w:val="center"/>
            <w:hideMark/>
          </w:tcPr>
          <w:p w14:paraId="3FC00CBC" w14:textId="77777777" w:rsidR="00BC53FF" w:rsidRPr="000F7D59" w:rsidRDefault="00BC53FF" w:rsidP="008C71C0">
            <w:pPr>
              <w:spacing w:after="0" w:line="360" w:lineRule="auto"/>
              <w:jc w:val="center"/>
              <w:rPr>
                <w:rFonts w:ascii="Times New Roman" w:hAnsi="Times New Roman" w:cs="Times New Roman"/>
              </w:rPr>
            </w:pPr>
          </w:p>
        </w:tc>
        <w:tc>
          <w:tcPr>
            <w:tcW w:w="875" w:type="dxa"/>
            <w:tcBorders>
              <w:top w:val="single" w:sz="4" w:space="0" w:color="auto"/>
              <w:left w:val="nil"/>
              <w:bottom w:val="nil"/>
              <w:right w:val="nil"/>
            </w:tcBorders>
            <w:shd w:val="clear" w:color="auto" w:fill="auto"/>
            <w:noWrap/>
            <w:vAlign w:val="center"/>
            <w:hideMark/>
          </w:tcPr>
          <w:p w14:paraId="45B56C7A" w14:textId="77777777" w:rsidR="00BC53FF" w:rsidRPr="000F7D59" w:rsidRDefault="00BC53FF" w:rsidP="008C71C0">
            <w:pPr>
              <w:spacing w:after="0" w:line="360" w:lineRule="auto"/>
              <w:jc w:val="center"/>
              <w:rPr>
                <w:rFonts w:ascii="Times New Roman" w:hAnsi="Times New Roman" w:cs="Times New Roman"/>
              </w:rPr>
            </w:pPr>
          </w:p>
        </w:tc>
        <w:tc>
          <w:tcPr>
            <w:tcW w:w="848" w:type="dxa"/>
            <w:tcBorders>
              <w:top w:val="single" w:sz="4" w:space="0" w:color="auto"/>
              <w:left w:val="nil"/>
              <w:bottom w:val="nil"/>
              <w:right w:val="nil"/>
            </w:tcBorders>
            <w:shd w:val="clear" w:color="auto" w:fill="auto"/>
            <w:noWrap/>
            <w:vAlign w:val="center"/>
            <w:hideMark/>
          </w:tcPr>
          <w:p w14:paraId="5C0F588A" w14:textId="77777777" w:rsidR="00BC53FF" w:rsidRPr="000F7D59" w:rsidRDefault="00BC53FF" w:rsidP="008C71C0">
            <w:pPr>
              <w:spacing w:after="0" w:line="360" w:lineRule="auto"/>
              <w:jc w:val="center"/>
              <w:rPr>
                <w:rFonts w:ascii="Times New Roman" w:hAnsi="Times New Roman" w:cs="Times New Roman"/>
              </w:rPr>
            </w:pPr>
          </w:p>
        </w:tc>
        <w:tc>
          <w:tcPr>
            <w:tcW w:w="1001" w:type="dxa"/>
            <w:tcBorders>
              <w:top w:val="single" w:sz="4" w:space="0" w:color="auto"/>
              <w:left w:val="nil"/>
              <w:bottom w:val="nil"/>
              <w:right w:val="nil"/>
            </w:tcBorders>
            <w:shd w:val="clear" w:color="auto" w:fill="auto"/>
            <w:noWrap/>
            <w:vAlign w:val="center"/>
            <w:hideMark/>
          </w:tcPr>
          <w:p w14:paraId="53C48644" w14:textId="77777777" w:rsidR="00BC53FF" w:rsidRPr="000F7D59" w:rsidRDefault="00BC53FF" w:rsidP="008C71C0">
            <w:pPr>
              <w:spacing w:after="0" w:line="360" w:lineRule="auto"/>
              <w:jc w:val="center"/>
              <w:rPr>
                <w:rFonts w:ascii="Times New Roman" w:hAnsi="Times New Roman" w:cs="Times New Roman"/>
              </w:rPr>
            </w:pPr>
          </w:p>
        </w:tc>
      </w:tr>
      <w:tr w:rsidR="00BC53FF" w:rsidRPr="000F7D59" w14:paraId="1566577C" w14:textId="77777777" w:rsidTr="008C71C0">
        <w:trPr>
          <w:trHeight w:val="255"/>
          <w:jc w:val="center"/>
        </w:trPr>
        <w:tc>
          <w:tcPr>
            <w:tcW w:w="2790" w:type="dxa"/>
            <w:tcBorders>
              <w:top w:val="nil"/>
              <w:left w:val="nil"/>
              <w:bottom w:val="nil"/>
              <w:right w:val="nil"/>
            </w:tcBorders>
            <w:shd w:val="clear" w:color="auto" w:fill="auto"/>
            <w:noWrap/>
            <w:vAlign w:val="center"/>
            <w:hideMark/>
          </w:tcPr>
          <w:p w14:paraId="34799B32" w14:textId="77777777" w:rsidR="00BC53FF" w:rsidRPr="000F7D59" w:rsidRDefault="00BC53FF" w:rsidP="008C71C0">
            <w:pPr>
              <w:spacing w:after="0" w:line="360" w:lineRule="auto"/>
              <w:rPr>
                <w:rFonts w:ascii="Times New Roman" w:hAnsi="Times New Roman" w:cs="Times New Roman"/>
              </w:rPr>
            </w:pPr>
            <w:r w:rsidRPr="000F7D59">
              <w:rPr>
                <w:rFonts w:ascii="Times New Roman" w:hAnsi="Times New Roman" w:cs="Times New Roman"/>
              </w:rPr>
              <w:t>1. Proportion of R&amp;D executives</w:t>
            </w:r>
          </w:p>
        </w:tc>
        <w:tc>
          <w:tcPr>
            <w:tcW w:w="850" w:type="dxa"/>
            <w:tcBorders>
              <w:top w:val="nil"/>
              <w:left w:val="nil"/>
              <w:bottom w:val="nil"/>
              <w:right w:val="nil"/>
            </w:tcBorders>
            <w:vAlign w:val="center"/>
          </w:tcPr>
          <w:p w14:paraId="3843947F"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.05</w:t>
            </w:r>
          </w:p>
        </w:tc>
        <w:tc>
          <w:tcPr>
            <w:tcW w:w="1073" w:type="dxa"/>
            <w:tcBorders>
              <w:top w:val="nil"/>
              <w:left w:val="nil"/>
              <w:bottom w:val="nil"/>
              <w:right w:val="nil"/>
            </w:tcBorders>
            <w:vAlign w:val="center"/>
          </w:tcPr>
          <w:p w14:paraId="13A4A2FB"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.09</w:t>
            </w:r>
          </w:p>
        </w:tc>
        <w:tc>
          <w:tcPr>
            <w:tcW w:w="708" w:type="dxa"/>
            <w:tcBorders>
              <w:top w:val="nil"/>
              <w:left w:val="nil"/>
              <w:bottom w:val="nil"/>
              <w:right w:val="nil"/>
            </w:tcBorders>
            <w:shd w:val="clear" w:color="auto" w:fill="auto"/>
            <w:noWrap/>
            <w:vAlign w:val="center"/>
            <w:hideMark/>
          </w:tcPr>
          <w:p w14:paraId="2E0D3EAB"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1.00</w:t>
            </w:r>
          </w:p>
        </w:tc>
        <w:tc>
          <w:tcPr>
            <w:tcW w:w="709" w:type="dxa"/>
            <w:tcBorders>
              <w:top w:val="nil"/>
              <w:left w:val="nil"/>
              <w:bottom w:val="nil"/>
              <w:right w:val="nil"/>
            </w:tcBorders>
            <w:shd w:val="clear" w:color="auto" w:fill="auto"/>
            <w:noWrap/>
            <w:vAlign w:val="center"/>
            <w:hideMark/>
          </w:tcPr>
          <w:p w14:paraId="4D29E489" w14:textId="77777777" w:rsidR="00BC53FF" w:rsidRPr="000F7D59" w:rsidRDefault="00BC53FF" w:rsidP="008C71C0">
            <w:pPr>
              <w:spacing w:after="0" w:line="360" w:lineRule="auto"/>
              <w:jc w:val="center"/>
              <w:rPr>
                <w:rFonts w:ascii="Times New Roman" w:hAnsi="Times New Roman" w:cs="Times New Roman"/>
              </w:rPr>
            </w:pPr>
          </w:p>
        </w:tc>
        <w:tc>
          <w:tcPr>
            <w:tcW w:w="875" w:type="dxa"/>
            <w:tcBorders>
              <w:top w:val="nil"/>
              <w:left w:val="nil"/>
              <w:bottom w:val="nil"/>
              <w:right w:val="nil"/>
            </w:tcBorders>
            <w:shd w:val="clear" w:color="auto" w:fill="auto"/>
            <w:noWrap/>
            <w:vAlign w:val="center"/>
            <w:hideMark/>
          </w:tcPr>
          <w:p w14:paraId="5B31415F" w14:textId="77777777" w:rsidR="00BC53FF" w:rsidRPr="000F7D59" w:rsidRDefault="00BC53FF" w:rsidP="008C71C0">
            <w:pPr>
              <w:spacing w:after="0" w:line="360" w:lineRule="auto"/>
              <w:jc w:val="center"/>
              <w:rPr>
                <w:rFonts w:ascii="Times New Roman" w:hAnsi="Times New Roman" w:cs="Times New Roman"/>
              </w:rPr>
            </w:pPr>
          </w:p>
        </w:tc>
        <w:tc>
          <w:tcPr>
            <w:tcW w:w="848" w:type="dxa"/>
            <w:tcBorders>
              <w:top w:val="nil"/>
              <w:left w:val="nil"/>
              <w:bottom w:val="nil"/>
              <w:right w:val="nil"/>
            </w:tcBorders>
            <w:shd w:val="clear" w:color="auto" w:fill="auto"/>
            <w:noWrap/>
            <w:vAlign w:val="center"/>
            <w:hideMark/>
          </w:tcPr>
          <w:p w14:paraId="0BA5BF0B" w14:textId="77777777" w:rsidR="00BC53FF" w:rsidRPr="000F7D59" w:rsidRDefault="00BC53FF" w:rsidP="008C71C0">
            <w:pPr>
              <w:spacing w:after="0" w:line="360" w:lineRule="auto"/>
              <w:jc w:val="center"/>
              <w:rPr>
                <w:rFonts w:ascii="Times New Roman" w:hAnsi="Times New Roman" w:cs="Times New Roman"/>
              </w:rPr>
            </w:pPr>
          </w:p>
        </w:tc>
        <w:tc>
          <w:tcPr>
            <w:tcW w:w="1001" w:type="dxa"/>
            <w:tcBorders>
              <w:top w:val="nil"/>
              <w:left w:val="nil"/>
              <w:bottom w:val="nil"/>
              <w:right w:val="nil"/>
            </w:tcBorders>
            <w:shd w:val="clear" w:color="auto" w:fill="auto"/>
            <w:noWrap/>
            <w:vAlign w:val="center"/>
            <w:hideMark/>
          </w:tcPr>
          <w:p w14:paraId="709EC131" w14:textId="77777777" w:rsidR="00BC53FF" w:rsidRPr="000F7D59" w:rsidRDefault="00BC53FF" w:rsidP="008C71C0">
            <w:pPr>
              <w:spacing w:after="0" w:line="360" w:lineRule="auto"/>
              <w:jc w:val="center"/>
              <w:rPr>
                <w:rFonts w:ascii="Times New Roman" w:hAnsi="Times New Roman" w:cs="Times New Roman"/>
              </w:rPr>
            </w:pPr>
          </w:p>
        </w:tc>
      </w:tr>
      <w:tr w:rsidR="00BC53FF" w:rsidRPr="000F7D59" w14:paraId="5F802085" w14:textId="77777777" w:rsidTr="008C71C0">
        <w:trPr>
          <w:trHeight w:val="255"/>
          <w:jc w:val="center"/>
        </w:trPr>
        <w:tc>
          <w:tcPr>
            <w:tcW w:w="2790" w:type="dxa"/>
            <w:tcBorders>
              <w:top w:val="nil"/>
              <w:left w:val="nil"/>
              <w:bottom w:val="nil"/>
              <w:right w:val="nil"/>
            </w:tcBorders>
            <w:shd w:val="clear" w:color="auto" w:fill="auto"/>
            <w:noWrap/>
            <w:vAlign w:val="center"/>
            <w:hideMark/>
          </w:tcPr>
          <w:p w14:paraId="1236EC11" w14:textId="77777777" w:rsidR="00BC53FF" w:rsidRPr="000F7D59" w:rsidRDefault="00BC53FF" w:rsidP="008C71C0">
            <w:pPr>
              <w:spacing w:after="0" w:line="360" w:lineRule="auto"/>
              <w:rPr>
                <w:rFonts w:ascii="Times New Roman" w:hAnsi="Times New Roman" w:cs="Times New Roman"/>
              </w:rPr>
            </w:pPr>
            <w:r w:rsidRPr="000F7D59">
              <w:rPr>
                <w:rFonts w:ascii="Times New Roman" w:hAnsi="Times New Roman" w:cs="Times New Roman"/>
              </w:rPr>
              <w:t>2. Proportion of R&amp;D executives’ pay</w:t>
            </w:r>
          </w:p>
        </w:tc>
        <w:tc>
          <w:tcPr>
            <w:tcW w:w="850" w:type="dxa"/>
            <w:tcBorders>
              <w:top w:val="nil"/>
              <w:left w:val="nil"/>
              <w:bottom w:val="nil"/>
              <w:right w:val="nil"/>
            </w:tcBorders>
            <w:vAlign w:val="center"/>
          </w:tcPr>
          <w:p w14:paraId="600B0E9B"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.04</w:t>
            </w:r>
          </w:p>
        </w:tc>
        <w:tc>
          <w:tcPr>
            <w:tcW w:w="1073" w:type="dxa"/>
            <w:tcBorders>
              <w:top w:val="nil"/>
              <w:left w:val="nil"/>
              <w:bottom w:val="nil"/>
              <w:right w:val="nil"/>
            </w:tcBorders>
            <w:vAlign w:val="center"/>
          </w:tcPr>
          <w:p w14:paraId="233C469F"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.08</w:t>
            </w:r>
          </w:p>
        </w:tc>
        <w:tc>
          <w:tcPr>
            <w:tcW w:w="708" w:type="dxa"/>
            <w:tcBorders>
              <w:top w:val="nil"/>
              <w:left w:val="nil"/>
              <w:bottom w:val="nil"/>
              <w:right w:val="nil"/>
            </w:tcBorders>
            <w:shd w:val="clear" w:color="auto" w:fill="auto"/>
            <w:noWrap/>
            <w:vAlign w:val="center"/>
            <w:hideMark/>
          </w:tcPr>
          <w:p w14:paraId="5A6E1455"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.88*</w:t>
            </w:r>
          </w:p>
        </w:tc>
        <w:tc>
          <w:tcPr>
            <w:tcW w:w="709" w:type="dxa"/>
            <w:tcBorders>
              <w:top w:val="nil"/>
              <w:left w:val="nil"/>
              <w:bottom w:val="nil"/>
              <w:right w:val="nil"/>
            </w:tcBorders>
            <w:shd w:val="clear" w:color="auto" w:fill="auto"/>
            <w:noWrap/>
            <w:vAlign w:val="center"/>
            <w:hideMark/>
          </w:tcPr>
          <w:p w14:paraId="4C0EE129"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1.00</w:t>
            </w:r>
          </w:p>
        </w:tc>
        <w:tc>
          <w:tcPr>
            <w:tcW w:w="875" w:type="dxa"/>
            <w:tcBorders>
              <w:top w:val="nil"/>
              <w:left w:val="nil"/>
              <w:bottom w:val="nil"/>
              <w:right w:val="nil"/>
            </w:tcBorders>
            <w:shd w:val="clear" w:color="auto" w:fill="auto"/>
            <w:noWrap/>
            <w:vAlign w:val="center"/>
            <w:hideMark/>
          </w:tcPr>
          <w:p w14:paraId="71E0CB64" w14:textId="77777777" w:rsidR="00BC53FF" w:rsidRPr="000F7D59" w:rsidRDefault="00BC53FF" w:rsidP="008C71C0">
            <w:pPr>
              <w:spacing w:after="0" w:line="360" w:lineRule="auto"/>
              <w:jc w:val="center"/>
              <w:rPr>
                <w:rFonts w:ascii="Times New Roman" w:hAnsi="Times New Roman" w:cs="Times New Roman"/>
              </w:rPr>
            </w:pPr>
          </w:p>
        </w:tc>
        <w:tc>
          <w:tcPr>
            <w:tcW w:w="848" w:type="dxa"/>
            <w:tcBorders>
              <w:top w:val="nil"/>
              <w:left w:val="nil"/>
              <w:bottom w:val="nil"/>
              <w:right w:val="nil"/>
            </w:tcBorders>
            <w:shd w:val="clear" w:color="auto" w:fill="auto"/>
            <w:noWrap/>
            <w:vAlign w:val="center"/>
            <w:hideMark/>
          </w:tcPr>
          <w:p w14:paraId="57E7B1F0" w14:textId="77777777" w:rsidR="00BC53FF" w:rsidRPr="000F7D59" w:rsidRDefault="00BC53FF" w:rsidP="008C71C0">
            <w:pPr>
              <w:spacing w:after="0" w:line="360" w:lineRule="auto"/>
              <w:jc w:val="center"/>
              <w:rPr>
                <w:rFonts w:ascii="Times New Roman" w:hAnsi="Times New Roman" w:cs="Times New Roman"/>
              </w:rPr>
            </w:pPr>
          </w:p>
        </w:tc>
        <w:tc>
          <w:tcPr>
            <w:tcW w:w="1001" w:type="dxa"/>
            <w:tcBorders>
              <w:top w:val="nil"/>
              <w:left w:val="nil"/>
              <w:bottom w:val="nil"/>
              <w:right w:val="nil"/>
            </w:tcBorders>
            <w:shd w:val="clear" w:color="auto" w:fill="auto"/>
            <w:noWrap/>
            <w:vAlign w:val="center"/>
            <w:hideMark/>
          </w:tcPr>
          <w:p w14:paraId="6EA232B4" w14:textId="77777777" w:rsidR="00BC53FF" w:rsidRPr="000F7D59" w:rsidRDefault="00BC53FF" w:rsidP="008C71C0">
            <w:pPr>
              <w:spacing w:after="0" w:line="360" w:lineRule="auto"/>
              <w:jc w:val="center"/>
              <w:rPr>
                <w:rFonts w:ascii="Times New Roman" w:hAnsi="Times New Roman" w:cs="Times New Roman"/>
              </w:rPr>
            </w:pPr>
          </w:p>
        </w:tc>
      </w:tr>
      <w:tr w:rsidR="00BC53FF" w:rsidRPr="000F7D59" w14:paraId="68E001FF" w14:textId="77777777" w:rsidTr="008C71C0">
        <w:trPr>
          <w:trHeight w:val="255"/>
          <w:jc w:val="center"/>
        </w:trPr>
        <w:tc>
          <w:tcPr>
            <w:tcW w:w="2790" w:type="dxa"/>
            <w:tcBorders>
              <w:top w:val="nil"/>
              <w:left w:val="nil"/>
              <w:bottom w:val="nil"/>
              <w:right w:val="nil"/>
            </w:tcBorders>
            <w:shd w:val="clear" w:color="auto" w:fill="auto"/>
            <w:noWrap/>
            <w:vAlign w:val="center"/>
            <w:hideMark/>
          </w:tcPr>
          <w:p w14:paraId="516C7558" w14:textId="77777777" w:rsidR="00BC53FF" w:rsidRPr="000F7D59" w:rsidRDefault="00BC53FF" w:rsidP="008C71C0">
            <w:pPr>
              <w:spacing w:after="0" w:line="360" w:lineRule="auto"/>
              <w:rPr>
                <w:rFonts w:ascii="Times New Roman" w:hAnsi="Times New Roman" w:cs="Times New Roman"/>
              </w:rPr>
            </w:pPr>
            <w:r w:rsidRPr="000F7D59">
              <w:rPr>
                <w:rFonts w:ascii="Times New Roman" w:hAnsi="Times New Roman" w:cs="Times New Roman"/>
              </w:rPr>
              <w:t>3. Highest ranking of R&amp;D executives</w:t>
            </w:r>
          </w:p>
        </w:tc>
        <w:tc>
          <w:tcPr>
            <w:tcW w:w="850" w:type="dxa"/>
            <w:tcBorders>
              <w:top w:val="nil"/>
              <w:left w:val="nil"/>
              <w:bottom w:val="nil"/>
              <w:right w:val="nil"/>
            </w:tcBorders>
            <w:vAlign w:val="center"/>
          </w:tcPr>
          <w:p w14:paraId="48DE8171"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1.68</w:t>
            </w:r>
          </w:p>
        </w:tc>
        <w:tc>
          <w:tcPr>
            <w:tcW w:w="1073" w:type="dxa"/>
            <w:tcBorders>
              <w:top w:val="nil"/>
              <w:left w:val="nil"/>
              <w:bottom w:val="nil"/>
              <w:right w:val="nil"/>
            </w:tcBorders>
            <w:vAlign w:val="center"/>
          </w:tcPr>
          <w:p w14:paraId="1B18A90A"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1.28</w:t>
            </w:r>
          </w:p>
        </w:tc>
        <w:tc>
          <w:tcPr>
            <w:tcW w:w="708" w:type="dxa"/>
            <w:tcBorders>
              <w:top w:val="nil"/>
              <w:left w:val="nil"/>
              <w:bottom w:val="nil"/>
              <w:right w:val="nil"/>
            </w:tcBorders>
            <w:shd w:val="clear" w:color="auto" w:fill="auto"/>
            <w:noWrap/>
            <w:vAlign w:val="center"/>
            <w:hideMark/>
          </w:tcPr>
          <w:p w14:paraId="1C19A812"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.84*</w:t>
            </w:r>
          </w:p>
        </w:tc>
        <w:tc>
          <w:tcPr>
            <w:tcW w:w="709" w:type="dxa"/>
            <w:tcBorders>
              <w:top w:val="nil"/>
              <w:left w:val="nil"/>
              <w:bottom w:val="nil"/>
              <w:right w:val="nil"/>
            </w:tcBorders>
            <w:shd w:val="clear" w:color="auto" w:fill="auto"/>
            <w:noWrap/>
            <w:vAlign w:val="center"/>
            <w:hideMark/>
          </w:tcPr>
          <w:p w14:paraId="1F51804D"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.69*</w:t>
            </w:r>
          </w:p>
        </w:tc>
        <w:tc>
          <w:tcPr>
            <w:tcW w:w="875" w:type="dxa"/>
            <w:tcBorders>
              <w:top w:val="nil"/>
              <w:left w:val="nil"/>
              <w:bottom w:val="nil"/>
              <w:right w:val="nil"/>
            </w:tcBorders>
            <w:shd w:val="clear" w:color="auto" w:fill="auto"/>
            <w:noWrap/>
            <w:vAlign w:val="center"/>
            <w:hideMark/>
          </w:tcPr>
          <w:p w14:paraId="14B3C193"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1.00</w:t>
            </w:r>
          </w:p>
        </w:tc>
        <w:tc>
          <w:tcPr>
            <w:tcW w:w="848" w:type="dxa"/>
            <w:tcBorders>
              <w:top w:val="nil"/>
              <w:left w:val="nil"/>
              <w:bottom w:val="nil"/>
              <w:right w:val="nil"/>
            </w:tcBorders>
            <w:shd w:val="clear" w:color="auto" w:fill="auto"/>
            <w:noWrap/>
            <w:vAlign w:val="center"/>
            <w:hideMark/>
          </w:tcPr>
          <w:p w14:paraId="4F15CF56" w14:textId="77777777" w:rsidR="00BC53FF" w:rsidRPr="000F7D59" w:rsidRDefault="00BC53FF" w:rsidP="008C71C0">
            <w:pPr>
              <w:spacing w:after="0" w:line="360" w:lineRule="auto"/>
              <w:jc w:val="center"/>
              <w:rPr>
                <w:rFonts w:ascii="Times New Roman" w:hAnsi="Times New Roman" w:cs="Times New Roman"/>
              </w:rPr>
            </w:pPr>
          </w:p>
        </w:tc>
        <w:tc>
          <w:tcPr>
            <w:tcW w:w="1001" w:type="dxa"/>
            <w:tcBorders>
              <w:top w:val="nil"/>
              <w:left w:val="nil"/>
              <w:bottom w:val="nil"/>
              <w:right w:val="nil"/>
            </w:tcBorders>
            <w:shd w:val="clear" w:color="auto" w:fill="auto"/>
            <w:noWrap/>
            <w:vAlign w:val="center"/>
            <w:hideMark/>
          </w:tcPr>
          <w:p w14:paraId="12BFF328" w14:textId="77777777" w:rsidR="00BC53FF" w:rsidRPr="000F7D59" w:rsidRDefault="00BC53FF" w:rsidP="008C71C0">
            <w:pPr>
              <w:spacing w:after="0" w:line="360" w:lineRule="auto"/>
              <w:jc w:val="center"/>
              <w:rPr>
                <w:rFonts w:ascii="Times New Roman" w:hAnsi="Times New Roman" w:cs="Times New Roman"/>
              </w:rPr>
            </w:pPr>
          </w:p>
        </w:tc>
      </w:tr>
      <w:tr w:rsidR="00BC53FF" w:rsidRPr="000F7D59" w14:paraId="1006B3DC" w14:textId="77777777" w:rsidTr="008C71C0">
        <w:trPr>
          <w:trHeight w:val="255"/>
          <w:jc w:val="center"/>
        </w:trPr>
        <w:tc>
          <w:tcPr>
            <w:tcW w:w="2790" w:type="dxa"/>
            <w:tcBorders>
              <w:top w:val="nil"/>
              <w:left w:val="nil"/>
              <w:bottom w:val="nil"/>
              <w:right w:val="nil"/>
            </w:tcBorders>
            <w:shd w:val="clear" w:color="auto" w:fill="auto"/>
            <w:noWrap/>
            <w:vAlign w:val="center"/>
            <w:hideMark/>
          </w:tcPr>
          <w:p w14:paraId="74B983E0" w14:textId="77777777" w:rsidR="00BC53FF" w:rsidRPr="000F7D59" w:rsidRDefault="00BC53FF" w:rsidP="008C71C0">
            <w:pPr>
              <w:spacing w:after="0" w:line="360" w:lineRule="auto"/>
              <w:rPr>
                <w:rFonts w:ascii="Times New Roman" w:hAnsi="Times New Roman" w:cs="Times New Roman"/>
              </w:rPr>
            </w:pPr>
            <w:r w:rsidRPr="000F7D59">
              <w:rPr>
                <w:rFonts w:ascii="Times New Roman" w:hAnsi="Times New Roman" w:cs="Times New Roman"/>
              </w:rPr>
              <w:t>4. Cumulative ranking of R&amp;D executives</w:t>
            </w:r>
          </w:p>
        </w:tc>
        <w:tc>
          <w:tcPr>
            <w:tcW w:w="850" w:type="dxa"/>
            <w:tcBorders>
              <w:top w:val="nil"/>
              <w:left w:val="nil"/>
              <w:bottom w:val="nil"/>
              <w:right w:val="nil"/>
            </w:tcBorders>
            <w:vAlign w:val="center"/>
          </w:tcPr>
          <w:p w14:paraId="0C052C54"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1.78</w:t>
            </w:r>
          </w:p>
        </w:tc>
        <w:tc>
          <w:tcPr>
            <w:tcW w:w="1073" w:type="dxa"/>
            <w:tcBorders>
              <w:top w:val="nil"/>
              <w:left w:val="nil"/>
              <w:bottom w:val="nil"/>
              <w:right w:val="nil"/>
            </w:tcBorders>
            <w:vAlign w:val="center"/>
          </w:tcPr>
          <w:p w14:paraId="3D82410C"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1.60</w:t>
            </w:r>
          </w:p>
        </w:tc>
        <w:tc>
          <w:tcPr>
            <w:tcW w:w="708" w:type="dxa"/>
            <w:tcBorders>
              <w:top w:val="nil"/>
              <w:left w:val="nil"/>
              <w:bottom w:val="nil"/>
              <w:right w:val="nil"/>
            </w:tcBorders>
            <w:shd w:val="clear" w:color="auto" w:fill="auto"/>
            <w:noWrap/>
            <w:vAlign w:val="center"/>
            <w:hideMark/>
          </w:tcPr>
          <w:p w14:paraId="49063B7B"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.86*</w:t>
            </w:r>
          </w:p>
        </w:tc>
        <w:tc>
          <w:tcPr>
            <w:tcW w:w="709" w:type="dxa"/>
            <w:tcBorders>
              <w:top w:val="nil"/>
              <w:left w:val="nil"/>
              <w:bottom w:val="nil"/>
              <w:right w:val="nil"/>
            </w:tcBorders>
            <w:shd w:val="clear" w:color="auto" w:fill="auto"/>
            <w:noWrap/>
            <w:vAlign w:val="center"/>
            <w:hideMark/>
          </w:tcPr>
          <w:p w14:paraId="0F24BA86"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.72*</w:t>
            </w:r>
          </w:p>
        </w:tc>
        <w:tc>
          <w:tcPr>
            <w:tcW w:w="875" w:type="dxa"/>
            <w:tcBorders>
              <w:top w:val="nil"/>
              <w:left w:val="nil"/>
              <w:bottom w:val="nil"/>
              <w:right w:val="nil"/>
            </w:tcBorders>
            <w:shd w:val="clear" w:color="auto" w:fill="auto"/>
            <w:noWrap/>
            <w:vAlign w:val="center"/>
            <w:hideMark/>
          </w:tcPr>
          <w:p w14:paraId="0F145C2F"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.92*</w:t>
            </w:r>
          </w:p>
        </w:tc>
        <w:tc>
          <w:tcPr>
            <w:tcW w:w="848" w:type="dxa"/>
            <w:tcBorders>
              <w:top w:val="nil"/>
              <w:left w:val="nil"/>
              <w:bottom w:val="nil"/>
              <w:right w:val="nil"/>
            </w:tcBorders>
            <w:shd w:val="clear" w:color="auto" w:fill="auto"/>
            <w:noWrap/>
            <w:vAlign w:val="center"/>
            <w:hideMark/>
          </w:tcPr>
          <w:p w14:paraId="1B211EB7"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1.00</w:t>
            </w:r>
          </w:p>
        </w:tc>
        <w:tc>
          <w:tcPr>
            <w:tcW w:w="1001" w:type="dxa"/>
            <w:tcBorders>
              <w:top w:val="nil"/>
              <w:left w:val="nil"/>
              <w:bottom w:val="nil"/>
              <w:right w:val="nil"/>
            </w:tcBorders>
            <w:shd w:val="clear" w:color="auto" w:fill="auto"/>
            <w:noWrap/>
            <w:vAlign w:val="center"/>
            <w:hideMark/>
          </w:tcPr>
          <w:p w14:paraId="60A40954" w14:textId="77777777" w:rsidR="00BC53FF" w:rsidRPr="000F7D59" w:rsidRDefault="00BC53FF" w:rsidP="008C71C0">
            <w:pPr>
              <w:spacing w:after="0" w:line="360" w:lineRule="auto"/>
              <w:jc w:val="center"/>
              <w:rPr>
                <w:rFonts w:ascii="Times New Roman" w:hAnsi="Times New Roman" w:cs="Times New Roman"/>
              </w:rPr>
            </w:pPr>
          </w:p>
        </w:tc>
      </w:tr>
      <w:tr w:rsidR="00BC53FF" w:rsidRPr="000F7D59" w14:paraId="3D24B0C2" w14:textId="77777777" w:rsidTr="008C71C0">
        <w:trPr>
          <w:trHeight w:val="255"/>
          <w:jc w:val="center"/>
        </w:trPr>
        <w:tc>
          <w:tcPr>
            <w:tcW w:w="2790" w:type="dxa"/>
            <w:tcBorders>
              <w:top w:val="nil"/>
              <w:left w:val="nil"/>
              <w:bottom w:val="nil"/>
              <w:right w:val="nil"/>
            </w:tcBorders>
            <w:shd w:val="clear" w:color="auto" w:fill="auto"/>
            <w:noWrap/>
            <w:vAlign w:val="center"/>
            <w:hideMark/>
          </w:tcPr>
          <w:p w14:paraId="6C2EB851" w14:textId="77777777" w:rsidR="00BC53FF" w:rsidRPr="000F7D59" w:rsidRDefault="00BC53FF" w:rsidP="008C71C0">
            <w:pPr>
              <w:spacing w:after="0" w:line="360" w:lineRule="auto"/>
              <w:rPr>
                <w:rFonts w:ascii="Times New Roman" w:hAnsi="Times New Roman" w:cs="Times New Roman"/>
              </w:rPr>
            </w:pPr>
            <w:r w:rsidRPr="000F7D59">
              <w:rPr>
                <w:rFonts w:ascii="Times New Roman" w:hAnsi="Times New Roman" w:cs="Times New Roman"/>
              </w:rPr>
              <w:t>5. Cumulative responsibilities of R&amp;D executives</w:t>
            </w:r>
          </w:p>
        </w:tc>
        <w:tc>
          <w:tcPr>
            <w:tcW w:w="850" w:type="dxa"/>
            <w:tcBorders>
              <w:top w:val="nil"/>
              <w:left w:val="nil"/>
              <w:bottom w:val="nil"/>
              <w:right w:val="nil"/>
            </w:tcBorders>
            <w:vAlign w:val="center"/>
          </w:tcPr>
          <w:p w14:paraId="5761DA82"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.53</w:t>
            </w:r>
          </w:p>
        </w:tc>
        <w:tc>
          <w:tcPr>
            <w:tcW w:w="1073" w:type="dxa"/>
            <w:tcBorders>
              <w:top w:val="nil"/>
              <w:left w:val="nil"/>
              <w:bottom w:val="nil"/>
              <w:right w:val="nil"/>
            </w:tcBorders>
            <w:vAlign w:val="center"/>
          </w:tcPr>
          <w:p w14:paraId="60089A65"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1.06</w:t>
            </w:r>
          </w:p>
        </w:tc>
        <w:tc>
          <w:tcPr>
            <w:tcW w:w="708" w:type="dxa"/>
            <w:tcBorders>
              <w:top w:val="nil"/>
              <w:left w:val="nil"/>
              <w:bottom w:val="nil"/>
              <w:right w:val="nil"/>
            </w:tcBorders>
            <w:shd w:val="clear" w:color="auto" w:fill="auto"/>
            <w:noWrap/>
            <w:vAlign w:val="center"/>
            <w:hideMark/>
          </w:tcPr>
          <w:p w14:paraId="4518077B"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.82*</w:t>
            </w:r>
          </w:p>
        </w:tc>
        <w:tc>
          <w:tcPr>
            <w:tcW w:w="709" w:type="dxa"/>
            <w:tcBorders>
              <w:top w:val="nil"/>
              <w:left w:val="nil"/>
              <w:bottom w:val="nil"/>
              <w:right w:val="nil"/>
            </w:tcBorders>
            <w:shd w:val="clear" w:color="auto" w:fill="auto"/>
            <w:noWrap/>
            <w:vAlign w:val="center"/>
            <w:hideMark/>
          </w:tcPr>
          <w:p w14:paraId="45E3DE03"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.71*</w:t>
            </w:r>
          </w:p>
        </w:tc>
        <w:tc>
          <w:tcPr>
            <w:tcW w:w="875" w:type="dxa"/>
            <w:tcBorders>
              <w:top w:val="nil"/>
              <w:left w:val="nil"/>
              <w:bottom w:val="nil"/>
              <w:right w:val="nil"/>
            </w:tcBorders>
            <w:shd w:val="clear" w:color="auto" w:fill="auto"/>
            <w:noWrap/>
            <w:vAlign w:val="center"/>
            <w:hideMark/>
          </w:tcPr>
          <w:p w14:paraId="51C8FB3F"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.87*</w:t>
            </w:r>
          </w:p>
        </w:tc>
        <w:tc>
          <w:tcPr>
            <w:tcW w:w="848" w:type="dxa"/>
            <w:tcBorders>
              <w:top w:val="nil"/>
              <w:left w:val="nil"/>
              <w:bottom w:val="nil"/>
              <w:right w:val="nil"/>
            </w:tcBorders>
            <w:shd w:val="clear" w:color="auto" w:fill="auto"/>
            <w:noWrap/>
            <w:vAlign w:val="center"/>
            <w:hideMark/>
          </w:tcPr>
          <w:p w14:paraId="265B77C8"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.88*</w:t>
            </w:r>
          </w:p>
        </w:tc>
        <w:tc>
          <w:tcPr>
            <w:tcW w:w="1001" w:type="dxa"/>
            <w:tcBorders>
              <w:top w:val="nil"/>
              <w:left w:val="nil"/>
              <w:bottom w:val="nil"/>
              <w:right w:val="nil"/>
            </w:tcBorders>
            <w:shd w:val="clear" w:color="auto" w:fill="auto"/>
            <w:noWrap/>
            <w:vAlign w:val="center"/>
            <w:hideMark/>
          </w:tcPr>
          <w:p w14:paraId="1E0EE99B" w14:textId="77777777" w:rsidR="00BC53FF" w:rsidRPr="000F7D59" w:rsidRDefault="00BC53FF" w:rsidP="008C71C0">
            <w:pPr>
              <w:spacing w:after="0" w:line="360" w:lineRule="auto"/>
              <w:jc w:val="center"/>
              <w:rPr>
                <w:rFonts w:ascii="Times New Roman" w:hAnsi="Times New Roman" w:cs="Times New Roman"/>
              </w:rPr>
            </w:pPr>
            <w:r w:rsidRPr="000F7D59">
              <w:rPr>
                <w:rFonts w:ascii="Times New Roman" w:hAnsi="Times New Roman" w:cs="Times New Roman"/>
              </w:rPr>
              <w:t>1.00</w:t>
            </w:r>
          </w:p>
        </w:tc>
      </w:tr>
      <w:tr w:rsidR="00BC53FF" w:rsidRPr="000F7D59" w14:paraId="6DF3D6FB" w14:textId="77777777" w:rsidTr="008C71C0">
        <w:trPr>
          <w:trHeight w:val="255"/>
          <w:jc w:val="center"/>
        </w:trPr>
        <w:tc>
          <w:tcPr>
            <w:tcW w:w="2790" w:type="dxa"/>
            <w:tcBorders>
              <w:top w:val="nil"/>
              <w:left w:val="nil"/>
              <w:bottom w:val="single" w:sz="4" w:space="0" w:color="auto"/>
              <w:right w:val="nil"/>
            </w:tcBorders>
            <w:shd w:val="clear" w:color="auto" w:fill="auto"/>
            <w:noWrap/>
            <w:vAlign w:val="center"/>
          </w:tcPr>
          <w:p w14:paraId="439DC6F6" w14:textId="77777777" w:rsidR="00BC53FF" w:rsidRPr="000F7D59" w:rsidRDefault="00BC53FF" w:rsidP="008C71C0">
            <w:pPr>
              <w:spacing w:after="0" w:line="360" w:lineRule="auto"/>
              <w:rPr>
                <w:rFonts w:ascii="Times New Roman" w:hAnsi="Times New Roman" w:cs="Times New Roman"/>
              </w:rPr>
            </w:pPr>
          </w:p>
        </w:tc>
        <w:tc>
          <w:tcPr>
            <w:tcW w:w="850" w:type="dxa"/>
            <w:tcBorders>
              <w:top w:val="nil"/>
              <w:left w:val="nil"/>
              <w:bottom w:val="single" w:sz="4" w:space="0" w:color="auto"/>
              <w:right w:val="nil"/>
            </w:tcBorders>
            <w:vAlign w:val="center"/>
          </w:tcPr>
          <w:p w14:paraId="16E6A5F5" w14:textId="77777777" w:rsidR="00BC53FF" w:rsidRPr="000F7D59" w:rsidRDefault="00BC53FF" w:rsidP="008C71C0">
            <w:pPr>
              <w:spacing w:after="0" w:line="360" w:lineRule="auto"/>
              <w:jc w:val="center"/>
              <w:rPr>
                <w:rFonts w:ascii="Times New Roman" w:hAnsi="Times New Roman" w:cs="Times New Roman"/>
              </w:rPr>
            </w:pPr>
          </w:p>
        </w:tc>
        <w:tc>
          <w:tcPr>
            <w:tcW w:w="1073" w:type="dxa"/>
            <w:tcBorders>
              <w:top w:val="nil"/>
              <w:left w:val="nil"/>
              <w:bottom w:val="single" w:sz="4" w:space="0" w:color="auto"/>
              <w:right w:val="nil"/>
            </w:tcBorders>
            <w:vAlign w:val="center"/>
          </w:tcPr>
          <w:p w14:paraId="297972A2" w14:textId="77777777" w:rsidR="00BC53FF" w:rsidRPr="000F7D59" w:rsidRDefault="00BC53FF" w:rsidP="008C71C0">
            <w:pPr>
              <w:spacing w:after="0" w:line="360" w:lineRule="auto"/>
              <w:jc w:val="center"/>
              <w:rPr>
                <w:rFonts w:ascii="Times New Roman" w:hAnsi="Times New Roman" w:cs="Times New Roman"/>
              </w:rPr>
            </w:pPr>
          </w:p>
        </w:tc>
        <w:tc>
          <w:tcPr>
            <w:tcW w:w="708" w:type="dxa"/>
            <w:tcBorders>
              <w:top w:val="nil"/>
              <w:left w:val="nil"/>
              <w:bottom w:val="single" w:sz="4" w:space="0" w:color="auto"/>
              <w:right w:val="nil"/>
            </w:tcBorders>
            <w:shd w:val="clear" w:color="auto" w:fill="auto"/>
            <w:noWrap/>
            <w:vAlign w:val="center"/>
          </w:tcPr>
          <w:p w14:paraId="332F8765" w14:textId="77777777" w:rsidR="00BC53FF" w:rsidRPr="000F7D59" w:rsidRDefault="00BC53FF" w:rsidP="008C71C0">
            <w:pPr>
              <w:spacing w:after="0" w:line="360" w:lineRule="auto"/>
              <w:jc w:val="center"/>
              <w:rPr>
                <w:rFonts w:ascii="Times New Roman" w:hAnsi="Times New Roman" w:cs="Times New Roman"/>
              </w:rPr>
            </w:pPr>
          </w:p>
        </w:tc>
        <w:tc>
          <w:tcPr>
            <w:tcW w:w="709" w:type="dxa"/>
            <w:tcBorders>
              <w:top w:val="nil"/>
              <w:left w:val="nil"/>
              <w:bottom w:val="single" w:sz="4" w:space="0" w:color="auto"/>
              <w:right w:val="nil"/>
            </w:tcBorders>
            <w:shd w:val="clear" w:color="auto" w:fill="auto"/>
            <w:noWrap/>
            <w:vAlign w:val="center"/>
          </w:tcPr>
          <w:p w14:paraId="4169FFAA" w14:textId="77777777" w:rsidR="00BC53FF" w:rsidRPr="000F7D59" w:rsidRDefault="00BC53FF" w:rsidP="008C71C0">
            <w:pPr>
              <w:spacing w:after="0" w:line="360" w:lineRule="auto"/>
              <w:jc w:val="center"/>
              <w:rPr>
                <w:rFonts w:ascii="Times New Roman" w:hAnsi="Times New Roman" w:cs="Times New Roman"/>
              </w:rPr>
            </w:pPr>
          </w:p>
        </w:tc>
        <w:tc>
          <w:tcPr>
            <w:tcW w:w="875" w:type="dxa"/>
            <w:tcBorders>
              <w:top w:val="nil"/>
              <w:left w:val="nil"/>
              <w:bottom w:val="single" w:sz="4" w:space="0" w:color="auto"/>
              <w:right w:val="nil"/>
            </w:tcBorders>
            <w:shd w:val="clear" w:color="auto" w:fill="auto"/>
            <w:noWrap/>
            <w:vAlign w:val="center"/>
          </w:tcPr>
          <w:p w14:paraId="1A81EBA9" w14:textId="77777777" w:rsidR="00BC53FF" w:rsidRPr="000F7D59" w:rsidRDefault="00BC53FF" w:rsidP="008C71C0">
            <w:pPr>
              <w:spacing w:after="0" w:line="360" w:lineRule="auto"/>
              <w:jc w:val="center"/>
              <w:rPr>
                <w:rFonts w:ascii="Times New Roman" w:hAnsi="Times New Roman" w:cs="Times New Roman"/>
              </w:rPr>
            </w:pPr>
          </w:p>
        </w:tc>
        <w:tc>
          <w:tcPr>
            <w:tcW w:w="848" w:type="dxa"/>
            <w:tcBorders>
              <w:top w:val="nil"/>
              <w:left w:val="nil"/>
              <w:bottom w:val="single" w:sz="4" w:space="0" w:color="auto"/>
              <w:right w:val="nil"/>
            </w:tcBorders>
            <w:shd w:val="clear" w:color="auto" w:fill="auto"/>
            <w:noWrap/>
            <w:vAlign w:val="center"/>
          </w:tcPr>
          <w:p w14:paraId="053A7024" w14:textId="77777777" w:rsidR="00BC53FF" w:rsidRPr="000F7D59" w:rsidRDefault="00BC53FF" w:rsidP="008C71C0">
            <w:pPr>
              <w:spacing w:after="0" w:line="360" w:lineRule="auto"/>
              <w:jc w:val="center"/>
              <w:rPr>
                <w:rFonts w:ascii="Times New Roman" w:hAnsi="Times New Roman" w:cs="Times New Roman"/>
              </w:rPr>
            </w:pPr>
          </w:p>
        </w:tc>
        <w:tc>
          <w:tcPr>
            <w:tcW w:w="1001" w:type="dxa"/>
            <w:tcBorders>
              <w:top w:val="nil"/>
              <w:left w:val="nil"/>
              <w:bottom w:val="single" w:sz="4" w:space="0" w:color="auto"/>
              <w:right w:val="nil"/>
            </w:tcBorders>
            <w:shd w:val="clear" w:color="auto" w:fill="auto"/>
            <w:noWrap/>
            <w:vAlign w:val="center"/>
          </w:tcPr>
          <w:p w14:paraId="2DECBBF8" w14:textId="77777777" w:rsidR="00BC53FF" w:rsidRPr="000F7D59" w:rsidRDefault="00BC53FF" w:rsidP="008C71C0">
            <w:pPr>
              <w:spacing w:after="0" w:line="360" w:lineRule="auto"/>
              <w:jc w:val="center"/>
              <w:rPr>
                <w:rFonts w:ascii="Times New Roman" w:hAnsi="Times New Roman" w:cs="Times New Roman"/>
              </w:rPr>
            </w:pPr>
          </w:p>
        </w:tc>
      </w:tr>
    </w:tbl>
    <w:p w14:paraId="3E8B5CBC" w14:textId="77777777" w:rsidR="00BC53FF" w:rsidRPr="000F7D59" w:rsidRDefault="00BC53FF" w:rsidP="00BC53FF">
      <w:pPr>
        <w:spacing w:line="240" w:lineRule="auto"/>
        <w:rPr>
          <w:rFonts w:ascii="Times New Roman" w:hAnsi="Times New Roman" w:cs="Times New Roman"/>
          <w:sz w:val="20"/>
          <w:szCs w:val="20"/>
        </w:rPr>
      </w:pPr>
      <w:r w:rsidRPr="000F7D59">
        <w:rPr>
          <w:rFonts w:ascii="Times New Roman" w:hAnsi="Times New Roman" w:cs="Times New Roman"/>
          <w:sz w:val="20"/>
          <w:szCs w:val="20"/>
        </w:rPr>
        <w:t xml:space="preserve">  </w:t>
      </w:r>
      <w:r w:rsidRPr="000F7D59">
        <w:rPr>
          <w:rFonts w:ascii="Times New Roman" w:eastAsia="Times New Roman" w:hAnsi="Times New Roman" w:cs="Times New Roman"/>
          <w:i/>
          <w:iCs/>
          <w:sz w:val="20"/>
          <w:szCs w:val="20"/>
        </w:rPr>
        <w:t xml:space="preserve">Note: </w:t>
      </w:r>
      <w:r w:rsidRPr="000F7D59">
        <w:rPr>
          <w:rFonts w:ascii="Times New Roman" w:hAnsi="Times New Roman" w:cs="Times New Roman"/>
          <w:i/>
          <w:sz w:val="20"/>
          <w:szCs w:val="20"/>
        </w:rPr>
        <w:t>*p&lt;0.05</w:t>
      </w:r>
    </w:p>
    <w:p w14:paraId="03717463" w14:textId="77777777" w:rsidR="00BC53FF" w:rsidRPr="000F7D59" w:rsidRDefault="00BC53FF" w:rsidP="00AE0C64">
      <w:pPr>
        <w:jc w:val="center"/>
        <w:rPr>
          <w:rFonts w:ascii="Times New Roman" w:hAnsi="Times New Roman" w:cs="Times New Roman"/>
        </w:rPr>
      </w:pPr>
      <w:r w:rsidRPr="000F7D59">
        <w:rPr>
          <w:rFonts w:ascii="Times New Roman" w:hAnsi="Times New Roman" w:cs="Times New Roman"/>
        </w:rPr>
        <w:t>Table W2.4 Factor loadings of R&amp;D department power’s indicators</w:t>
      </w:r>
    </w:p>
    <w:tbl>
      <w:tblPr>
        <w:tblW w:w="0" w:type="auto"/>
        <w:jc w:val="center"/>
        <w:tblBorders>
          <w:top w:val="single" w:sz="4" w:space="0" w:color="auto"/>
          <w:bottom w:val="single" w:sz="4" w:space="0" w:color="auto"/>
        </w:tblBorders>
        <w:tblLook w:val="04A0" w:firstRow="1" w:lastRow="0" w:firstColumn="1" w:lastColumn="0" w:noHBand="0" w:noVBand="1"/>
      </w:tblPr>
      <w:tblGrid>
        <w:gridCol w:w="3114"/>
        <w:gridCol w:w="1984"/>
        <w:gridCol w:w="1843"/>
      </w:tblGrid>
      <w:tr w:rsidR="00BC53FF" w:rsidRPr="000F7D59" w14:paraId="7997CF57" w14:textId="77777777" w:rsidTr="00AE0C64">
        <w:trPr>
          <w:jc w:val="center"/>
        </w:trPr>
        <w:tc>
          <w:tcPr>
            <w:tcW w:w="3114" w:type="dxa"/>
            <w:tcBorders>
              <w:top w:val="single" w:sz="4" w:space="0" w:color="auto"/>
              <w:bottom w:val="single" w:sz="4" w:space="0" w:color="auto"/>
            </w:tcBorders>
            <w:vAlign w:val="center"/>
          </w:tcPr>
          <w:p w14:paraId="328AB682" w14:textId="77777777" w:rsidR="00BC53FF" w:rsidRPr="000F7D59" w:rsidRDefault="00BC53FF" w:rsidP="008C71C0">
            <w:pPr>
              <w:rPr>
                <w:rFonts w:ascii="Times New Roman" w:hAnsi="Times New Roman" w:cs="Times New Roman"/>
              </w:rPr>
            </w:pPr>
          </w:p>
        </w:tc>
        <w:tc>
          <w:tcPr>
            <w:tcW w:w="1984" w:type="dxa"/>
            <w:tcBorders>
              <w:top w:val="single" w:sz="4" w:space="0" w:color="auto"/>
              <w:bottom w:val="single" w:sz="4" w:space="0" w:color="auto"/>
            </w:tcBorders>
            <w:vAlign w:val="center"/>
          </w:tcPr>
          <w:p w14:paraId="0E886A14" w14:textId="77777777" w:rsidR="00BC53FF" w:rsidRPr="000F7D59" w:rsidRDefault="00BC53FF" w:rsidP="008C71C0">
            <w:pPr>
              <w:spacing w:line="360" w:lineRule="auto"/>
              <w:jc w:val="center"/>
              <w:rPr>
                <w:rFonts w:ascii="Times New Roman" w:hAnsi="Times New Roman" w:cs="Times New Roman"/>
              </w:rPr>
            </w:pPr>
            <w:r w:rsidRPr="000F7D59">
              <w:rPr>
                <w:rFonts w:ascii="Times New Roman" w:hAnsi="Times New Roman" w:cs="Times New Roman"/>
              </w:rPr>
              <w:t>Factor 1</w:t>
            </w:r>
          </w:p>
        </w:tc>
        <w:tc>
          <w:tcPr>
            <w:tcW w:w="1843" w:type="dxa"/>
            <w:tcBorders>
              <w:top w:val="single" w:sz="4" w:space="0" w:color="auto"/>
              <w:bottom w:val="single" w:sz="4" w:space="0" w:color="auto"/>
            </w:tcBorders>
            <w:vAlign w:val="center"/>
          </w:tcPr>
          <w:p w14:paraId="225A345E" w14:textId="77777777" w:rsidR="00BC53FF" w:rsidRPr="000F7D59" w:rsidRDefault="00BC53FF" w:rsidP="008C71C0">
            <w:pPr>
              <w:spacing w:line="360" w:lineRule="auto"/>
              <w:jc w:val="center"/>
              <w:rPr>
                <w:rFonts w:ascii="Times New Roman" w:hAnsi="Times New Roman" w:cs="Times New Roman"/>
              </w:rPr>
            </w:pPr>
            <w:r w:rsidRPr="000F7D59">
              <w:rPr>
                <w:rFonts w:ascii="Times New Roman" w:hAnsi="Times New Roman" w:cs="Times New Roman"/>
              </w:rPr>
              <w:t>Uniqueness</w:t>
            </w:r>
          </w:p>
        </w:tc>
      </w:tr>
      <w:tr w:rsidR="00BC53FF" w:rsidRPr="000F7D59" w14:paraId="16BF0260" w14:textId="77777777" w:rsidTr="00AE0C64">
        <w:trPr>
          <w:jc w:val="center"/>
        </w:trPr>
        <w:tc>
          <w:tcPr>
            <w:tcW w:w="3114" w:type="dxa"/>
            <w:tcBorders>
              <w:top w:val="single" w:sz="4" w:space="0" w:color="auto"/>
            </w:tcBorders>
            <w:vAlign w:val="center"/>
          </w:tcPr>
          <w:p w14:paraId="4FFA2A99" w14:textId="77777777" w:rsidR="00BC53FF" w:rsidRPr="000F7D59" w:rsidRDefault="00BC53FF" w:rsidP="008C71C0">
            <w:pPr>
              <w:rPr>
                <w:rFonts w:ascii="Times New Roman" w:hAnsi="Times New Roman" w:cs="Times New Roman"/>
              </w:rPr>
            </w:pPr>
            <w:r w:rsidRPr="000F7D59">
              <w:rPr>
                <w:rFonts w:ascii="Times New Roman" w:hAnsi="Times New Roman" w:cs="Times New Roman"/>
              </w:rPr>
              <w:t>1. Proportion of R&amp;D executives</w:t>
            </w:r>
          </w:p>
        </w:tc>
        <w:tc>
          <w:tcPr>
            <w:tcW w:w="1984" w:type="dxa"/>
            <w:tcBorders>
              <w:top w:val="single" w:sz="4" w:space="0" w:color="auto"/>
            </w:tcBorders>
          </w:tcPr>
          <w:p w14:paraId="4B41224C" w14:textId="77777777" w:rsidR="00BC53FF" w:rsidRPr="000F7D59" w:rsidRDefault="00BC53FF" w:rsidP="008C71C0">
            <w:pPr>
              <w:spacing w:line="360" w:lineRule="auto"/>
              <w:jc w:val="center"/>
              <w:rPr>
                <w:rFonts w:ascii="Times New Roman" w:hAnsi="Times New Roman" w:cs="Times New Roman"/>
              </w:rPr>
            </w:pPr>
            <w:r w:rsidRPr="000F7D59">
              <w:rPr>
                <w:rFonts w:ascii="Times New Roman" w:hAnsi="Times New Roman" w:cs="Times New Roman"/>
              </w:rPr>
              <w:t>.95</w:t>
            </w:r>
          </w:p>
        </w:tc>
        <w:tc>
          <w:tcPr>
            <w:tcW w:w="1843" w:type="dxa"/>
            <w:tcBorders>
              <w:top w:val="single" w:sz="4" w:space="0" w:color="auto"/>
            </w:tcBorders>
          </w:tcPr>
          <w:p w14:paraId="1CCD9AF9" w14:textId="77777777" w:rsidR="00BC53FF" w:rsidRPr="000F7D59" w:rsidRDefault="00BC53FF" w:rsidP="008C71C0">
            <w:pPr>
              <w:spacing w:line="360" w:lineRule="auto"/>
              <w:jc w:val="center"/>
              <w:rPr>
                <w:rFonts w:ascii="Times New Roman" w:hAnsi="Times New Roman" w:cs="Times New Roman"/>
              </w:rPr>
            </w:pPr>
            <w:r w:rsidRPr="000F7D59">
              <w:rPr>
                <w:rFonts w:ascii="Times New Roman" w:hAnsi="Times New Roman" w:cs="Times New Roman"/>
              </w:rPr>
              <w:t>.09</w:t>
            </w:r>
          </w:p>
        </w:tc>
      </w:tr>
      <w:tr w:rsidR="00BC53FF" w:rsidRPr="000F7D59" w14:paraId="70D9E712" w14:textId="77777777" w:rsidTr="00AE0C64">
        <w:trPr>
          <w:jc w:val="center"/>
        </w:trPr>
        <w:tc>
          <w:tcPr>
            <w:tcW w:w="3114" w:type="dxa"/>
            <w:vAlign w:val="center"/>
          </w:tcPr>
          <w:p w14:paraId="38CACE07" w14:textId="77777777" w:rsidR="00BC53FF" w:rsidRPr="000F7D59" w:rsidRDefault="00BC53FF" w:rsidP="008C71C0">
            <w:pPr>
              <w:rPr>
                <w:rFonts w:ascii="Times New Roman" w:hAnsi="Times New Roman" w:cs="Times New Roman"/>
              </w:rPr>
            </w:pPr>
            <w:r w:rsidRPr="000F7D59">
              <w:rPr>
                <w:rFonts w:ascii="Times New Roman" w:hAnsi="Times New Roman" w:cs="Times New Roman"/>
              </w:rPr>
              <w:t>2. Proportion of R&amp;D executives’ pay</w:t>
            </w:r>
          </w:p>
        </w:tc>
        <w:tc>
          <w:tcPr>
            <w:tcW w:w="1984" w:type="dxa"/>
          </w:tcPr>
          <w:p w14:paraId="574EC260" w14:textId="77777777" w:rsidR="00BC53FF" w:rsidRPr="000F7D59" w:rsidRDefault="00BC53FF" w:rsidP="008C71C0">
            <w:pPr>
              <w:spacing w:line="360" w:lineRule="auto"/>
              <w:jc w:val="center"/>
              <w:rPr>
                <w:rFonts w:ascii="Times New Roman" w:hAnsi="Times New Roman" w:cs="Times New Roman"/>
              </w:rPr>
            </w:pPr>
            <w:r w:rsidRPr="000F7D59">
              <w:rPr>
                <w:rFonts w:ascii="Times New Roman" w:hAnsi="Times New Roman" w:cs="Times New Roman"/>
              </w:rPr>
              <w:t>.86</w:t>
            </w:r>
          </w:p>
        </w:tc>
        <w:tc>
          <w:tcPr>
            <w:tcW w:w="1843" w:type="dxa"/>
          </w:tcPr>
          <w:p w14:paraId="0383C2EE" w14:textId="77777777" w:rsidR="00BC53FF" w:rsidRPr="000F7D59" w:rsidRDefault="00BC53FF" w:rsidP="008C71C0">
            <w:pPr>
              <w:spacing w:line="360" w:lineRule="auto"/>
              <w:jc w:val="center"/>
              <w:rPr>
                <w:rFonts w:ascii="Times New Roman" w:hAnsi="Times New Roman" w:cs="Times New Roman"/>
              </w:rPr>
            </w:pPr>
            <w:r w:rsidRPr="000F7D59">
              <w:rPr>
                <w:rFonts w:ascii="Times New Roman" w:hAnsi="Times New Roman" w:cs="Times New Roman"/>
              </w:rPr>
              <w:t>.26</w:t>
            </w:r>
          </w:p>
        </w:tc>
      </w:tr>
      <w:tr w:rsidR="00BC53FF" w:rsidRPr="000F7D59" w14:paraId="18FBFA0C" w14:textId="77777777" w:rsidTr="00AE0C64">
        <w:trPr>
          <w:jc w:val="center"/>
        </w:trPr>
        <w:tc>
          <w:tcPr>
            <w:tcW w:w="3114" w:type="dxa"/>
            <w:vAlign w:val="center"/>
          </w:tcPr>
          <w:p w14:paraId="728289BC" w14:textId="77777777" w:rsidR="00BC53FF" w:rsidRPr="000F7D59" w:rsidRDefault="00BC53FF" w:rsidP="008C71C0">
            <w:pPr>
              <w:rPr>
                <w:rFonts w:ascii="Times New Roman" w:hAnsi="Times New Roman" w:cs="Times New Roman"/>
              </w:rPr>
            </w:pPr>
            <w:r w:rsidRPr="000F7D59">
              <w:rPr>
                <w:rFonts w:ascii="Times New Roman" w:hAnsi="Times New Roman" w:cs="Times New Roman"/>
              </w:rPr>
              <w:t>3. Highest ranking of R&amp;D executives</w:t>
            </w:r>
          </w:p>
        </w:tc>
        <w:tc>
          <w:tcPr>
            <w:tcW w:w="1984" w:type="dxa"/>
          </w:tcPr>
          <w:p w14:paraId="14EAD63A" w14:textId="77777777" w:rsidR="00BC53FF" w:rsidRPr="000F7D59" w:rsidRDefault="00BC53FF" w:rsidP="008C71C0">
            <w:pPr>
              <w:spacing w:line="360" w:lineRule="auto"/>
              <w:jc w:val="center"/>
              <w:rPr>
                <w:rFonts w:ascii="Times New Roman" w:hAnsi="Times New Roman" w:cs="Times New Roman"/>
              </w:rPr>
            </w:pPr>
            <w:r w:rsidRPr="000F7D59">
              <w:rPr>
                <w:rFonts w:ascii="Times New Roman" w:hAnsi="Times New Roman" w:cs="Times New Roman"/>
              </w:rPr>
              <w:t>.94</w:t>
            </w:r>
          </w:p>
        </w:tc>
        <w:tc>
          <w:tcPr>
            <w:tcW w:w="1843" w:type="dxa"/>
          </w:tcPr>
          <w:p w14:paraId="10293C53" w14:textId="77777777" w:rsidR="00BC53FF" w:rsidRPr="000F7D59" w:rsidRDefault="00BC53FF" w:rsidP="008C71C0">
            <w:pPr>
              <w:spacing w:line="360" w:lineRule="auto"/>
              <w:jc w:val="center"/>
              <w:rPr>
                <w:rFonts w:ascii="Times New Roman" w:hAnsi="Times New Roman" w:cs="Times New Roman"/>
              </w:rPr>
            </w:pPr>
            <w:r w:rsidRPr="000F7D59">
              <w:rPr>
                <w:rFonts w:ascii="Times New Roman" w:hAnsi="Times New Roman" w:cs="Times New Roman"/>
              </w:rPr>
              <w:t>.13</w:t>
            </w:r>
          </w:p>
        </w:tc>
      </w:tr>
      <w:tr w:rsidR="00BC53FF" w:rsidRPr="000F7D59" w14:paraId="5961A86E" w14:textId="77777777" w:rsidTr="00AE0C64">
        <w:trPr>
          <w:jc w:val="center"/>
        </w:trPr>
        <w:tc>
          <w:tcPr>
            <w:tcW w:w="3114" w:type="dxa"/>
            <w:vAlign w:val="center"/>
          </w:tcPr>
          <w:p w14:paraId="15B45330" w14:textId="77777777" w:rsidR="00BC53FF" w:rsidRPr="000F7D59" w:rsidRDefault="00BC53FF" w:rsidP="008C71C0">
            <w:pPr>
              <w:rPr>
                <w:rFonts w:ascii="Times New Roman" w:hAnsi="Times New Roman" w:cs="Times New Roman"/>
              </w:rPr>
            </w:pPr>
            <w:r w:rsidRPr="000F7D59">
              <w:rPr>
                <w:rFonts w:ascii="Times New Roman" w:hAnsi="Times New Roman" w:cs="Times New Roman"/>
              </w:rPr>
              <w:t>4. Cumulative ranking of R&amp;D executives</w:t>
            </w:r>
          </w:p>
        </w:tc>
        <w:tc>
          <w:tcPr>
            <w:tcW w:w="1984" w:type="dxa"/>
          </w:tcPr>
          <w:p w14:paraId="41E80E16" w14:textId="77777777" w:rsidR="00BC53FF" w:rsidRPr="000F7D59" w:rsidRDefault="00BC53FF" w:rsidP="008C71C0">
            <w:pPr>
              <w:spacing w:line="360" w:lineRule="auto"/>
              <w:jc w:val="center"/>
              <w:rPr>
                <w:rFonts w:ascii="Times New Roman" w:hAnsi="Times New Roman" w:cs="Times New Roman"/>
              </w:rPr>
            </w:pPr>
            <w:r w:rsidRPr="000F7D59">
              <w:rPr>
                <w:rFonts w:ascii="Times New Roman" w:hAnsi="Times New Roman" w:cs="Times New Roman"/>
              </w:rPr>
              <w:t>.95</w:t>
            </w:r>
          </w:p>
        </w:tc>
        <w:tc>
          <w:tcPr>
            <w:tcW w:w="1843" w:type="dxa"/>
          </w:tcPr>
          <w:p w14:paraId="7E713DED" w14:textId="77777777" w:rsidR="00BC53FF" w:rsidRPr="000F7D59" w:rsidRDefault="00BC53FF" w:rsidP="008C71C0">
            <w:pPr>
              <w:spacing w:line="360" w:lineRule="auto"/>
              <w:jc w:val="center"/>
              <w:rPr>
                <w:rFonts w:ascii="Times New Roman" w:hAnsi="Times New Roman" w:cs="Times New Roman"/>
              </w:rPr>
            </w:pPr>
            <w:r w:rsidRPr="000F7D59">
              <w:rPr>
                <w:rFonts w:ascii="Times New Roman" w:hAnsi="Times New Roman" w:cs="Times New Roman"/>
              </w:rPr>
              <w:t>.10</w:t>
            </w:r>
          </w:p>
        </w:tc>
      </w:tr>
      <w:tr w:rsidR="00BC53FF" w:rsidRPr="007E5674" w14:paraId="5AB182FA" w14:textId="77777777" w:rsidTr="00AE0C64">
        <w:trPr>
          <w:jc w:val="center"/>
        </w:trPr>
        <w:tc>
          <w:tcPr>
            <w:tcW w:w="3114" w:type="dxa"/>
            <w:vAlign w:val="center"/>
          </w:tcPr>
          <w:p w14:paraId="12875D34" w14:textId="77777777" w:rsidR="00BC53FF" w:rsidRPr="000F7D59" w:rsidRDefault="00BC53FF" w:rsidP="008C71C0">
            <w:pPr>
              <w:rPr>
                <w:rFonts w:ascii="Times New Roman" w:hAnsi="Times New Roman" w:cs="Times New Roman"/>
              </w:rPr>
            </w:pPr>
            <w:r w:rsidRPr="000F7D59">
              <w:rPr>
                <w:rFonts w:ascii="Times New Roman" w:hAnsi="Times New Roman" w:cs="Times New Roman"/>
              </w:rPr>
              <w:t>5. Cumulative responsibilities of R&amp;D executives</w:t>
            </w:r>
          </w:p>
        </w:tc>
        <w:tc>
          <w:tcPr>
            <w:tcW w:w="1984" w:type="dxa"/>
          </w:tcPr>
          <w:p w14:paraId="6E0F542D" w14:textId="77777777" w:rsidR="00BC53FF" w:rsidRPr="000F7D59" w:rsidRDefault="00BC53FF" w:rsidP="008C71C0">
            <w:pPr>
              <w:spacing w:line="360" w:lineRule="auto"/>
              <w:jc w:val="center"/>
              <w:rPr>
                <w:rFonts w:ascii="Times New Roman" w:hAnsi="Times New Roman" w:cs="Times New Roman"/>
              </w:rPr>
            </w:pPr>
            <w:r w:rsidRPr="000F7D59">
              <w:rPr>
                <w:rFonts w:ascii="Times New Roman" w:hAnsi="Times New Roman" w:cs="Times New Roman"/>
              </w:rPr>
              <w:t>.93</w:t>
            </w:r>
          </w:p>
        </w:tc>
        <w:tc>
          <w:tcPr>
            <w:tcW w:w="1843" w:type="dxa"/>
          </w:tcPr>
          <w:p w14:paraId="5D1D3CB4" w14:textId="77777777" w:rsidR="00BC53FF" w:rsidRDefault="00BC53FF" w:rsidP="008C71C0">
            <w:pPr>
              <w:spacing w:line="360" w:lineRule="auto"/>
              <w:jc w:val="center"/>
              <w:rPr>
                <w:rFonts w:ascii="Times New Roman" w:hAnsi="Times New Roman" w:cs="Times New Roman"/>
              </w:rPr>
            </w:pPr>
            <w:r w:rsidRPr="000F7D59">
              <w:rPr>
                <w:rFonts w:ascii="Times New Roman" w:hAnsi="Times New Roman" w:cs="Times New Roman"/>
              </w:rPr>
              <w:t>.14</w:t>
            </w:r>
          </w:p>
          <w:p w14:paraId="45AEB70F" w14:textId="77777777" w:rsidR="00BC53FF" w:rsidRPr="007E5674" w:rsidRDefault="00BC53FF" w:rsidP="008C71C0">
            <w:pPr>
              <w:spacing w:line="360" w:lineRule="auto"/>
              <w:jc w:val="center"/>
              <w:rPr>
                <w:rFonts w:ascii="Times New Roman" w:hAnsi="Times New Roman" w:cs="Times New Roman"/>
              </w:rPr>
            </w:pPr>
          </w:p>
        </w:tc>
      </w:tr>
    </w:tbl>
    <w:p w14:paraId="66FAAA6D" w14:textId="77777777" w:rsidR="00BC53FF" w:rsidRDefault="00BC53FF" w:rsidP="00BC53FF">
      <w:pPr>
        <w:spacing w:after="0" w:line="240" w:lineRule="auto"/>
      </w:pPr>
      <w:r w:rsidRPr="007E5674">
        <w:rPr>
          <w:rFonts w:ascii="Times New Roman" w:eastAsia="Times New Roman" w:hAnsi="Times New Roman" w:cs="Times New Roman"/>
        </w:rPr>
        <w:tab/>
      </w:r>
      <w:r w:rsidRPr="007E5674">
        <w:rPr>
          <w:rFonts w:ascii="Times New Roman" w:eastAsia="Times New Roman" w:hAnsi="Times New Roman" w:cs="Times New Roman"/>
        </w:rPr>
        <w:tab/>
      </w:r>
      <w:r w:rsidRPr="007E5674">
        <w:rPr>
          <w:rFonts w:ascii="Times New Roman" w:eastAsia="Times New Roman" w:hAnsi="Times New Roman" w:cs="Times New Roman"/>
        </w:rPr>
        <w:tab/>
      </w:r>
      <w:r w:rsidRPr="007E5674">
        <w:rPr>
          <w:rFonts w:ascii="Times New Roman" w:eastAsia="Times New Roman" w:hAnsi="Times New Roman" w:cs="Times New Roman"/>
        </w:rPr>
        <w:tab/>
      </w:r>
    </w:p>
    <w:p w14:paraId="3969103C" w14:textId="7B3602C4" w:rsidR="004A31CD" w:rsidRDefault="004A31CD"/>
    <w:p w14:paraId="53BCF5B6" w14:textId="77777777" w:rsidR="00DA5EDF" w:rsidRDefault="00DA5EDF">
      <w:pPr>
        <w:rPr>
          <w:rFonts w:ascii="Times New Roman" w:hAnsi="Times New Roman" w:cs="Times New Roman"/>
          <w:b/>
          <w:sz w:val="28"/>
          <w:szCs w:val="28"/>
        </w:rPr>
      </w:pPr>
    </w:p>
    <w:p w14:paraId="132B1E1D" w14:textId="77777777" w:rsidR="00DA5EDF" w:rsidRDefault="00DA5EDF">
      <w:pPr>
        <w:rPr>
          <w:rFonts w:ascii="Times New Roman" w:hAnsi="Times New Roman" w:cs="Times New Roman"/>
          <w:b/>
          <w:sz w:val="28"/>
          <w:szCs w:val="28"/>
        </w:rPr>
      </w:pPr>
    </w:p>
    <w:p w14:paraId="782EED96" w14:textId="77777777" w:rsidR="00DA5EDF" w:rsidRDefault="00DA5EDF">
      <w:pPr>
        <w:rPr>
          <w:rFonts w:ascii="Times New Roman" w:hAnsi="Times New Roman" w:cs="Times New Roman"/>
          <w:b/>
          <w:sz w:val="28"/>
          <w:szCs w:val="28"/>
        </w:rPr>
      </w:pPr>
    </w:p>
    <w:p w14:paraId="3B5D9664" w14:textId="77777777" w:rsidR="00DA5EDF" w:rsidRDefault="00DA5EDF">
      <w:pPr>
        <w:rPr>
          <w:rFonts w:ascii="Times New Roman" w:hAnsi="Times New Roman" w:cs="Times New Roman"/>
          <w:b/>
          <w:sz w:val="28"/>
          <w:szCs w:val="28"/>
        </w:rPr>
      </w:pPr>
    </w:p>
    <w:p w14:paraId="62150B2B" w14:textId="08CADE00" w:rsidR="00DA5EDF" w:rsidRPr="00DA5EDF" w:rsidRDefault="00DA5EDF">
      <w:pPr>
        <w:rPr>
          <w:rFonts w:ascii="Times New Roman" w:hAnsi="Times New Roman" w:cs="Times New Roman"/>
          <w:b/>
          <w:sz w:val="28"/>
          <w:szCs w:val="28"/>
        </w:rPr>
      </w:pPr>
      <w:r w:rsidRPr="00DA5EDF">
        <w:rPr>
          <w:rFonts w:ascii="Times New Roman" w:hAnsi="Times New Roman" w:cs="Times New Roman"/>
          <w:b/>
          <w:sz w:val="28"/>
          <w:szCs w:val="28"/>
        </w:rPr>
        <w:lastRenderedPageBreak/>
        <w:t>References</w:t>
      </w:r>
    </w:p>
    <w:p w14:paraId="62349FED" w14:textId="77777777" w:rsidR="00DA5EDF" w:rsidRDefault="00DA5EDF" w:rsidP="00DA5EDF">
      <w:pPr>
        <w:autoSpaceDE w:val="0"/>
        <w:autoSpaceDN w:val="0"/>
        <w:adjustRightInd w:val="0"/>
        <w:spacing w:after="0" w:line="240" w:lineRule="auto"/>
        <w:rPr>
          <w:rFonts w:ascii="Arial" w:hAnsi="Arial" w:cs="Arial"/>
          <w:color w:val="000000"/>
          <w:sz w:val="2"/>
          <w:szCs w:val="2"/>
          <w:lang w:val="en-PH"/>
        </w:rPr>
      </w:pPr>
    </w:p>
    <w:p w14:paraId="107F902E" w14:textId="5E05E2F1" w:rsidR="00DA5EDF" w:rsidRPr="00DA5EDF" w:rsidRDefault="00DA5EDF" w:rsidP="00DA5EDF">
      <w:pPr>
        <w:autoSpaceDE w:val="0"/>
        <w:autoSpaceDN w:val="0"/>
        <w:adjustRightInd w:val="0"/>
        <w:spacing w:after="0" w:line="240" w:lineRule="auto"/>
        <w:rPr>
          <w:rFonts w:ascii="Times New Roman" w:hAnsi="Times New Roman" w:cs="Times New Roman"/>
          <w:lang w:val="en-PH"/>
        </w:rPr>
      </w:pPr>
      <w:proofErr w:type="spellStart"/>
      <w:proofErr w:type="gramStart"/>
      <w:r w:rsidRPr="00DA5EDF">
        <w:rPr>
          <w:rFonts w:ascii="Times New Roman" w:hAnsi="Times New Roman" w:cs="Times New Roman"/>
          <w:lang w:val="en-PH"/>
        </w:rPr>
        <w:t>Bromiley</w:t>
      </w:r>
      <w:proofErr w:type="spellEnd"/>
      <w:r w:rsidRPr="00DA5EDF">
        <w:rPr>
          <w:rFonts w:ascii="Times New Roman" w:hAnsi="Times New Roman" w:cs="Times New Roman"/>
          <w:lang w:val="en-PH"/>
        </w:rPr>
        <w:t>, P., &amp; Marcus, A. (1989).</w:t>
      </w:r>
      <w:proofErr w:type="gramEnd"/>
      <w:r w:rsidRPr="00DA5EDF">
        <w:rPr>
          <w:rFonts w:ascii="Times New Roman" w:hAnsi="Times New Roman" w:cs="Times New Roman"/>
          <w:lang w:val="en-PH"/>
        </w:rPr>
        <w:t xml:space="preserve"> The</w:t>
      </w:r>
      <w:r w:rsidRPr="00DA5EDF">
        <w:rPr>
          <w:rFonts w:ascii="Times New Roman" w:hAnsi="Times New Roman" w:cs="Times New Roman"/>
          <w:lang w:val="en-PH"/>
        </w:rPr>
        <w:t xml:space="preserve"> deterrent to dubious corporate </w:t>
      </w:r>
      <w:r w:rsidRPr="00DA5EDF">
        <w:rPr>
          <w:rFonts w:ascii="Times New Roman" w:hAnsi="Times New Roman" w:cs="Times New Roman"/>
          <w:lang w:val="en-PH"/>
        </w:rPr>
        <w:t>behavior: Profitability, probability, and safety recalls. Strategic</w:t>
      </w:r>
      <w:r w:rsidRPr="00DA5EDF">
        <w:rPr>
          <w:rFonts w:ascii="Times New Roman" w:hAnsi="Times New Roman" w:cs="Times New Roman"/>
          <w:lang w:val="en-PH"/>
        </w:rPr>
        <w:t xml:space="preserve"> </w:t>
      </w:r>
      <w:r w:rsidRPr="00DA5EDF">
        <w:rPr>
          <w:rFonts w:ascii="Times New Roman" w:hAnsi="Times New Roman" w:cs="Times New Roman"/>
          <w:lang w:val="en-PH"/>
        </w:rPr>
        <w:t>Management Journal, 10(3), 233–250.</w:t>
      </w:r>
    </w:p>
    <w:p w14:paraId="466046BA" w14:textId="168B81B3" w:rsidR="00DA5EDF" w:rsidRPr="00DA5EDF" w:rsidRDefault="00DA5EDF" w:rsidP="00DA5EDF">
      <w:pPr>
        <w:autoSpaceDE w:val="0"/>
        <w:autoSpaceDN w:val="0"/>
        <w:adjustRightInd w:val="0"/>
        <w:spacing w:after="0" w:line="240" w:lineRule="auto"/>
        <w:rPr>
          <w:rFonts w:ascii="Times New Roman" w:hAnsi="Times New Roman" w:cs="Times New Roman"/>
          <w:lang w:val="en-PH"/>
        </w:rPr>
      </w:pPr>
      <w:proofErr w:type="gramStart"/>
      <w:r w:rsidRPr="00DA5EDF">
        <w:rPr>
          <w:rFonts w:ascii="Times New Roman" w:hAnsi="Times New Roman" w:cs="Times New Roman"/>
          <w:lang w:val="en-PH"/>
        </w:rPr>
        <w:t>Byun, K., &amp; Al-</w:t>
      </w:r>
      <w:proofErr w:type="spellStart"/>
      <w:r w:rsidRPr="00DA5EDF">
        <w:rPr>
          <w:rFonts w:ascii="Times New Roman" w:hAnsi="Times New Roman" w:cs="Times New Roman"/>
          <w:lang w:val="en-PH"/>
        </w:rPr>
        <w:t>Shammari</w:t>
      </w:r>
      <w:proofErr w:type="spellEnd"/>
      <w:r w:rsidRPr="00DA5EDF">
        <w:rPr>
          <w:rFonts w:ascii="Times New Roman" w:hAnsi="Times New Roman" w:cs="Times New Roman"/>
          <w:lang w:val="en-PH"/>
        </w:rPr>
        <w:t>, M. (202</w:t>
      </w:r>
      <w:r w:rsidRPr="00DA5EDF">
        <w:rPr>
          <w:rFonts w:ascii="Times New Roman" w:hAnsi="Times New Roman" w:cs="Times New Roman"/>
          <w:lang w:val="en-PH"/>
        </w:rPr>
        <w:t>1).</w:t>
      </w:r>
      <w:proofErr w:type="gramEnd"/>
      <w:r w:rsidRPr="00DA5EDF">
        <w:rPr>
          <w:rFonts w:ascii="Times New Roman" w:hAnsi="Times New Roman" w:cs="Times New Roman"/>
          <w:lang w:val="en-PH"/>
        </w:rPr>
        <w:t xml:space="preserve"> </w:t>
      </w:r>
      <w:proofErr w:type="gramStart"/>
      <w:r w:rsidRPr="00DA5EDF">
        <w:rPr>
          <w:rFonts w:ascii="Times New Roman" w:hAnsi="Times New Roman" w:cs="Times New Roman"/>
          <w:lang w:val="en-PH"/>
        </w:rPr>
        <w:t xml:space="preserve">When narcissistic CEOs meet </w:t>
      </w:r>
      <w:r w:rsidRPr="00DA5EDF">
        <w:rPr>
          <w:rFonts w:ascii="Times New Roman" w:hAnsi="Times New Roman" w:cs="Times New Roman"/>
          <w:lang w:val="en-PH"/>
        </w:rPr>
        <w:t>power: Effects of CEO narcissism</w:t>
      </w:r>
      <w:r w:rsidRPr="00DA5EDF">
        <w:rPr>
          <w:rFonts w:ascii="Times New Roman" w:hAnsi="Times New Roman" w:cs="Times New Roman"/>
          <w:lang w:val="en-PH"/>
        </w:rPr>
        <w:t xml:space="preserve"> and power on the likelihood of </w:t>
      </w:r>
      <w:r w:rsidRPr="00DA5EDF">
        <w:rPr>
          <w:rFonts w:ascii="Times New Roman" w:hAnsi="Times New Roman" w:cs="Times New Roman"/>
          <w:lang w:val="en-PH"/>
        </w:rPr>
        <w:t>product recalls in consumer-pack</w:t>
      </w:r>
      <w:r w:rsidRPr="00DA5EDF">
        <w:rPr>
          <w:rFonts w:ascii="Times New Roman" w:hAnsi="Times New Roman" w:cs="Times New Roman"/>
          <w:lang w:val="en-PH"/>
        </w:rPr>
        <w:t>aged goods.</w:t>
      </w:r>
      <w:proofErr w:type="gramEnd"/>
      <w:r w:rsidRPr="00DA5EDF">
        <w:rPr>
          <w:rFonts w:ascii="Times New Roman" w:hAnsi="Times New Roman" w:cs="Times New Roman"/>
          <w:lang w:val="en-PH"/>
        </w:rPr>
        <w:t xml:space="preserve"> Journal of Business </w:t>
      </w:r>
      <w:r w:rsidRPr="00DA5EDF">
        <w:rPr>
          <w:rFonts w:ascii="Times New Roman" w:hAnsi="Times New Roman" w:cs="Times New Roman"/>
          <w:lang w:val="en-PH"/>
        </w:rPr>
        <w:t>Research, 128(May), 45–60.</w:t>
      </w:r>
    </w:p>
    <w:p w14:paraId="78D49070" w14:textId="553B01B2" w:rsidR="00DA5EDF" w:rsidRPr="00DA5EDF" w:rsidRDefault="00DA5EDF" w:rsidP="00DA5EDF">
      <w:pPr>
        <w:autoSpaceDE w:val="0"/>
        <w:autoSpaceDN w:val="0"/>
        <w:adjustRightInd w:val="0"/>
        <w:spacing w:after="0" w:line="240" w:lineRule="auto"/>
        <w:rPr>
          <w:rFonts w:ascii="Times New Roman" w:hAnsi="Times New Roman" w:cs="Times New Roman"/>
          <w:lang w:val="en-PH"/>
        </w:rPr>
      </w:pPr>
      <w:proofErr w:type="gramStart"/>
      <w:r w:rsidRPr="00DA5EDF">
        <w:rPr>
          <w:rFonts w:ascii="Times New Roman" w:hAnsi="Times New Roman" w:cs="Times New Roman"/>
          <w:lang w:val="en-PH"/>
        </w:rPr>
        <w:t xml:space="preserve">Chatterjee, A., &amp; </w:t>
      </w:r>
      <w:proofErr w:type="spellStart"/>
      <w:r w:rsidRPr="00DA5EDF">
        <w:rPr>
          <w:rFonts w:ascii="Times New Roman" w:hAnsi="Times New Roman" w:cs="Times New Roman"/>
          <w:lang w:val="en-PH"/>
        </w:rPr>
        <w:t>Hambrick</w:t>
      </w:r>
      <w:proofErr w:type="spellEnd"/>
      <w:r w:rsidRPr="00DA5EDF">
        <w:rPr>
          <w:rFonts w:ascii="Times New Roman" w:hAnsi="Times New Roman" w:cs="Times New Roman"/>
          <w:lang w:val="en-PH"/>
        </w:rPr>
        <w:t>, D. C. (2011).</w:t>
      </w:r>
      <w:proofErr w:type="gramEnd"/>
      <w:r w:rsidRPr="00DA5EDF">
        <w:rPr>
          <w:rFonts w:ascii="Times New Roman" w:hAnsi="Times New Roman" w:cs="Times New Roman"/>
          <w:lang w:val="en-PH"/>
        </w:rPr>
        <w:t xml:space="preserve"> Executive personality, capability</w:t>
      </w:r>
      <w:r>
        <w:rPr>
          <w:rFonts w:ascii="Times New Roman" w:hAnsi="Times New Roman" w:cs="Times New Roman"/>
          <w:lang w:val="en-PH"/>
        </w:rPr>
        <w:t xml:space="preserve"> </w:t>
      </w:r>
      <w:r w:rsidRPr="00DA5EDF">
        <w:rPr>
          <w:rFonts w:ascii="Times New Roman" w:hAnsi="Times New Roman" w:cs="Times New Roman"/>
          <w:lang w:val="en-PH"/>
        </w:rPr>
        <w:t>cues, and risk taking: How n</w:t>
      </w:r>
      <w:r>
        <w:rPr>
          <w:rFonts w:ascii="Times New Roman" w:hAnsi="Times New Roman" w:cs="Times New Roman"/>
          <w:lang w:val="en-PH"/>
        </w:rPr>
        <w:t xml:space="preserve">arcissistic CEOs react to their </w:t>
      </w:r>
      <w:r w:rsidRPr="00DA5EDF">
        <w:rPr>
          <w:rFonts w:ascii="Times New Roman" w:hAnsi="Times New Roman" w:cs="Times New Roman"/>
          <w:lang w:val="en-PH"/>
        </w:rPr>
        <w:t>successes and stumbles. Administrative Science Quarterly, 56(2),</w:t>
      </w:r>
    </w:p>
    <w:p w14:paraId="00FB5D5D" w14:textId="0DB61718" w:rsidR="00DA5EDF" w:rsidRPr="00DA5EDF" w:rsidRDefault="00DA5EDF" w:rsidP="00DA5EDF">
      <w:pPr>
        <w:autoSpaceDE w:val="0"/>
        <w:autoSpaceDN w:val="0"/>
        <w:adjustRightInd w:val="0"/>
        <w:spacing w:after="0" w:line="240" w:lineRule="auto"/>
        <w:rPr>
          <w:rFonts w:ascii="Times New Roman" w:hAnsi="Times New Roman" w:cs="Times New Roman"/>
          <w:lang w:val="en-PH"/>
        </w:rPr>
      </w:pPr>
      <w:proofErr w:type="gramStart"/>
      <w:r w:rsidRPr="00DA5EDF">
        <w:rPr>
          <w:rFonts w:ascii="Times New Roman" w:hAnsi="Times New Roman" w:cs="Times New Roman"/>
          <w:lang w:val="en-PH"/>
        </w:rPr>
        <w:t>202–237.</w:t>
      </w:r>
      <w:bookmarkStart w:id="0" w:name="_GoBack"/>
      <w:bookmarkEnd w:id="0"/>
      <w:proofErr w:type="gramEnd"/>
    </w:p>
    <w:sectPr w:rsidR="00DA5EDF" w:rsidRPr="00DA5EDF" w:rsidSect="00153B94">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C0A82" w14:textId="77777777" w:rsidR="00712AC2" w:rsidRDefault="00712AC2">
      <w:pPr>
        <w:spacing w:after="0" w:line="240" w:lineRule="auto"/>
      </w:pPr>
      <w:r>
        <w:separator/>
      </w:r>
    </w:p>
  </w:endnote>
  <w:endnote w:type="continuationSeparator" w:id="0">
    <w:p w14:paraId="547EA7CB" w14:textId="77777777" w:rsidR="00712AC2" w:rsidRDefault="00712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f2">
    <w:altName w:val="Cambria"/>
    <w:panose1 w:val="00000000000000000000"/>
    <w:charset w:val="00"/>
    <w:family w:val="roman"/>
    <w:notTrueType/>
    <w:pitch w:val="default"/>
  </w:font>
  <w:font w:name="ff1">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331082"/>
      <w:docPartObj>
        <w:docPartGallery w:val="Page Numbers (Bottom of Page)"/>
        <w:docPartUnique/>
      </w:docPartObj>
    </w:sdtPr>
    <w:sdtEndPr/>
    <w:sdtContent>
      <w:p w14:paraId="484F2A92" w14:textId="77777777" w:rsidR="0021192B" w:rsidRDefault="00BC53FF">
        <w:pPr>
          <w:pStyle w:val="Footer"/>
          <w:jc w:val="right"/>
        </w:pPr>
        <w:r>
          <w:fldChar w:fldCharType="begin"/>
        </w:r>
        <w:r>
          <w:instrText>PAGE   \* MERGEFORMAT</w:instrText>
        </w:r>
        <w:r>
          <w:fldChar w:fldCharType="separate"/>
        </w:r>
        <w:r w:rsidR="00DA5EDF">
          <w:rPr>
            <w:noProof/>
          </w:rPr>
          <w:t>4</w:t>
        </w:r>
        <w:r>
          <w:fldChar w:fldCharType="end"/>
        </w:r>
      </w:p>
    </w:sdtContent>
  </w:sdt>
  <w:p w14:paraId="2020F10B" w14:textId="77777777" w:rsidR="0021192B" w:rsidRDefault="00712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A4A64" w14:textId="77777777" w:rsidR="00712AC2" w:rsidRDefault="00712AC2">
      <w:pPr>
        <w:spacing w:after="0" w:line="240" w:lineRule="auto"/>
      </w:pPr>
      <w:r>
        <w:separator/>
      </w:r>
    </w:p>
  </w:footnote>
  <w:footnote w:type="continuationSeparator" w:id="0">
    <w:p w14:paraId="1DECC981" w14:textId="77777777" w:rsidR="00712AC2" w:rsidRDefault="00712A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3FF"/>
    <w:rsid w:val="00291AE8"/>
    <w:rsid w:val="004A31CD"/>
    <w:rsid w:val="00712AC2"/>
    <w:rsid w:val="009C6449"/>
    <w:rsid w:val="00AE0C64"/>
    <w:rsid w:val="00BC53FF"/>
    <w:rsid w:val="00DA5E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3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BC53FF"/>
  </w:style>
  <w:style w:type="paragraph" w:styleId="Footer">
    <w:name w:val="footer"/>
    <w:basedOn w:val="Normal"/>
    <w:link w:val="FooterChar"/>
    <w:uiPriority w:val="99"/>
    <w:unhideWhenUsed/>
    <w:rsid w:val="00BC53FF"/>
    <w:pPr>
      <w:tabs>
        <w:tab w:val="center" w:pos="4819"/>
        <w:tab w:val="right" w:pos="9638"/>
      </w:tabs>
      <w:spacing w:after="0" w:line="240" w:lineRule="auto"/>
    </w:pPr>
    <w:rPr>
      <w:lang w:val="it-IT"/>
    </w:rPr>
  </w:style>
  <w:style w:type="character" w:customStyle="1" w:styleId="PidipaginaCarattere1">
    <w:name w:val="Piè di pagina Carattere1"/>
    <w:basedOn w:val="DefaultParagraphFont"/>
    <w:uiPriority w:val="99"/>
    <w:semiHidden/>
    <w:rsid w:val="00BC53FF"/>
    <w:rPr>
      <w:lang w:val="en-US"/>
    </w:rPr>
  </w:style>
  <w:style w:type="paragraph" w:customStyle="1" w:styleId="textbox">
    <w:name w:val="textbox"/>
    <w:basedOn w:val="Normal"/>
    <w:rsid w:val="00BC53FF"/>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3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BC53FF"/>
  </w:style>
  <w:style w:type="paragraph" w:styleId="Footer">
    <w:name w:val="footer"/>
    <w:basedOn w:val="Normal"/>
    <w:link w:val="FooterChar"/>
    <w:uiPriority w:val="99"/>
    <w:unhideWhenUsed/>
    <w:rsid w:val="00BC53FF"/>
    <w:pPr>
      <w:tabs>
        <w:tab w:val="center" w:pos="4819"/>
        <w:tab w:val="right" w:pos="9638"/>
      </w:tabs>
      <w:spacing w:after="0" w:line="240" w:lineRule="auto"/>
    </w:pPr>
    <w:rPr>
      <w:lang w:val="it-IT"/>
    </w:rPr>
  </w:style>
  <w:style w:type="character" w:customStyle="1" w:styleId="PidipaginaCarattere1">
    <w:name w:val="Piè di pagina Carattere1"/>
    <w:basedOn w:val="DefaultParagraphFont"/>
    <w:uiPriority w:val="99"/>
    <w:semiHidden/>
    <w:rsid w:val="00BC53FF"/>
    <w:rPr>
      <w:lang w:val="en-US"/>
    </w:rPr>
  </w:style>
  <w:style w:type="paragraph" w:customStyle="1" w:styleId="textbox">
    <w:name w:val="textbox"/>
    <w:basedOn w:val="Normal"/>
    <w:rsid w:val="00BC53FF"/>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746</Words>
  <Characters>4256</Characters>
  <Application>Microsoft Office Word</Application>
  <DocSecurity>0</DocSecurity>
  <Lines>35</Lines>
  <Paragraphs>9</Paragraphs>
  <ScaleCrop>false</ScaleCrop>
  <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verdiana giannetti</dc:creator>
  <cp:keywords/>
  <dc:description/>
  <cp:lastModifiedBy>Baco, Jeneiza</cp:lastModifiedBy>
  <cp:revision>4</cp:revision>
  <dcterms:created xsi:type="dcterms:W3CDTF">2022-03-11T20:33:00Z</dcterms:created>
  <dcterms:modified xsi:type="dcterms:W3CDTF">2022-04-14T00:59:00Z</dcterms:modified>
</cp:coreProperties>
</file>